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675537" w14:textId="77777777" w:rsidR="00BF7319" w:rsidRDefault="00000000">
      <w:pPr>
        <w:spacing w:after="1151" w:line="259" w:lineRule="auto"/>
        <w:ind w:left="293" w:right="0" w:firstLine="0"/>
        <w:jc w:val="left"/>
      </w:pPr>
      <w:r>
        <w:rPr>
          <w:sz w:val="12"/>
        </w:rPr>
        <w:t xml:space="preserve"> </w:t>
      </w:r>
      <w:r>
        <w:rPr>
          <w:sz w:val="12"/>
        </w:rPr>
        <w:tab/>
        <w:t xml:space="preserve">  </w:t>
      </w:r>
    </w:p>
    <w:p w14:paraId="3F3CFDC4" w14:textId="77777777" w:rsidR="00BF7319" w:rsidRDefault="00000000">
      <w:pPr>
        <w:spacing w:after="865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21E0196D" w14:textId="77777777" w:rsidR="00BF7319" w:rsidRDefault="00000000">
      <w:pPr>
        <w:spacing w:after="866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2D3C408B" w14:textId="77777777" w:rsidR="00BF7319" w:rsidRDefault="00000000">
      <w:pPr>
        <w:spacing w:after="623" w:line="259" w:lineRule="auto"/>
        <w:ind w:left="0" w:right="4" w:firstLine="0"/>
        <w:jc w:val="center"/>
      </w:pPr>
      <w:r>
        <w:rPr>
          <w:b/>
          <w:sz w:val="44"/>
        </w:rPr>
        <w:t xml:space="preserve">ÚTMUTATÓ </w:t>
      </w:r>
    </w:p>
    <w:p w14:paraId="7B84D515" w14:textId="77777777" w:rsidR="00BF7319" w:rsidRDefault="00000000">
      <w:pPr>
        <w:spacing w:after="0" w:line="259" w:lineRule="auto"/>
        <w:ind w:left="0" w:right="1230" w:firstLine="0"/>
        <w:jc w:val="right"/>
      </w:pPr>
      <w:r>
        <w:rPr>
          <w:b/>
          <w:sz w:val="44"/>
        </w:rPr>
        <w:t xml:space="preserve">A TRL SZINT AZONOSÍTÁSÁRA </w:t>
      </w:r>
    </w:p>
    <w:p w14:paraId="31EF767F" w14:textId="77777777" w:rsidR="00BF7319" w:rsidRDefault="00000000">
      <w:pPr>
        <w:spacing w:after="0" w:line="259" w:lineRule="auto"/>
        <w:ind w:left="67" w:right="0" w:firstLine="0"/>
        <w:jc w:val="center"/>
      </w:pPr>
      <w:r>
        <w:rPr>
          <w:b/>
          <w:sz w:val="28"/>
        </w:rPr>
        <w:t xml:space="preserve"> </w:t>
      </w:r>
    </w:p>
    <w:p w14:paraId="4AA1C752" w14:textId="77777777" w:rsidR="00BF7319" w:rsidRDefault="00000000">
      <w:pPr>
        <w:spacing w:after="7068" w:line="25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F5D9345" wp14:editId="23E796EF">
                <wp:simplePos x="0" y="0"/>
                <wp:positionH relativeFrom="page">
                  <wp:posOffset>993140</wp:posOffset>
                </wp:positionH>
                <wp:positionV relativeFrom="page">
                  <wp:posOffset>474980</wp:posOffset>
                </wp:positionV>
                <wp:extent cx="5739384" cy="680085"/>
                <wp:effectExtent l="0" t="0" r="0" b="0"/>
                <wp:wrapTopAndBottom/>
                <wp:docPr id="11642" name="Group 116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39384" cy="680085"/>
                          <a:chOff x="0" y="0"/>
                          <a:chExt cx="5739384" cy="680085"/>
                        </a:xfrm>
                      </wpg:grpSpPr>
                      <wps:wsp>
                        <wps:cNvPr id="6" name="Rectangle 6"/>
                        <wps:cNvSpPr/>
                        <wps:spPr>
                          <a:xfrm>
                            <a:off x="122733" y="455857"/>
                            <a:ext cx="50673" cy="18586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4CA357" w14:textId="77777777" w:rsidR="00BF7319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" name="Picture 1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9384" cy="6800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42" style="width:451.92pt;height:53.55pt;position:absolute;mso-position-horizontal-relative:page;mso-position-horizontal:absolute;margin-left:78.2pt;mso-position-vertical-relative:page;margin-top:37.4pt;" coordsize="57393,6800">
                <v:rect id="Rectangle 6" style="position:absolute;width:506;height:1858;left:1227;top:45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/>
                          <w:t xml:space="preserve"> </w:t>
                        </w:r>
                      </w:p>
                    </w:txbxContent>
                  </v:textbox>
                </v:rect>
                <v:shape id="Picture 13" style="position:absolute;width:57393;height:6800;left:0;top:0;" filled="f">
                  <v:imagedata r:id="rId13"/>
                </v:shape>
                <w10:wrap type="topAndBottom"/>
              </v:group>
            </w:pict>
          </mc:Fallback>
        </mc:AlternateContent>
      </w:r>
      <w:r>
        <w:t xml:space="preserve"> </w:t>
      </w:r>
      <w:r>
        <w:tab/>
        <w:t xml:space="preserve"> </w:t>
      </w:r>
    </w:p>
    <w:p w14:paraId="3B685ED2" w14:textId="77777777" w:rsidR="00BF7319" w:rsidRDefault="00000000">
      <w:pPr>
        <w:spacing w:after="103" w:line="259" w:lineRule="auto"/>
        <w:ind w:left="378" w:right="0" w:firstLine="0"/>
        <w:jc w:val="center"/>
      </w:pPr>
      <w:r>
        <w:rPr>
          <w:sz w:val="16"/>
        </w:rPr>
        <w:t xml:space="preserve"> </w:t>
      </w:r>
    </w:p>
    <w:p w14:paraId="2E0A6373" w14:textId="77777777" w:rsidR="00BF7319" w:rsidRDefault="00000000">
      <w:pPr>
        <w:spacing w:after="0" w:line="259" w:lineRule="auto"/>
        <w:ind w:left="378" w:right="0" w:firstLine="0"/>
        <w:jc w:val="center"/>
      </w:pPr>
      <w:r>
        <w:rPr>
          <w:sz w:val="16"/>
        </w:rPr>
        <w:t xml:space="preserve"> </w:t>
      </w:r>
    </w:p>
    <w:p w14:paraId="5F95FF5A" w14:textId="77777777" w:rsidR="00BF7319" w:rsidRDefault="00000000">
      <w:pPr>
        <w:spacing w:after="12" w:line="259" w:lineRule="auto"/>
        <w:ind w:left="2497" w:right="0" w:firstLine="0"/>
        <w:jc w:val="left"/>
      </w:pPr>
      <w:r>
        <w:rPr>
          <w:sz w:val="16"/>
        </w:rPr>
        <w:t xml:space="preserve">1077 Budapest, Kéthly Anna tér 1. </w:t>
      </w:r>
      <w:r>
        <w:rPr>
          <w:b/>
          <w:color w:val="70AD47"/>
          <w:sz w:val="16"/>
        </w:rPr>
        <w:t>/</w:t>
      </w:r>
      <w:r>
        <w:rPr>
          <w:sz w:val="16"/>
        </w:rPr>
        <w:t xml:space="preserve"> Postacím: 1438 Budapest, Pf. 438. </w:t>
      </w:r>
    </w:p>
    <w:p w14:paraId="187211F7" w14:textId="77777777" w:rsidR="00BF7319" w:rsidRDefault="00000000">
      <w:pPr>
        <w:spacing w:after="0" w:line="259" w:lineRule="auto"/>
        <w:ind w:left="142" w:right="-135" w:firstLine="0"/>
        <w:jc w:val="center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inline distT="0" distB="0" distL="0" distR="0" wp14:anchorId="069612A3" wp14:editId="4655B974">
                <wp:extent cx="5759451" cy="6985"/>
                <wp:effectExtent l="0" t="0" r="0" b="0"/>
                <wp:docPr id="11643" name="Group 116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9451" cy="6985"/>
                          <a:chOff x="0" y="0"/>
                          <a:chExt cx="5759451" cy="6985"/>
                        </a:xfrm>
                      </wpg:grpSpPr>
                      <wps:wsp>
                        <wps:cNvPr id="28" name="Shape 28"/>
                        <wps:cNvSpPr/>
                        <wps:spPr>
                          <a:xfrm>
                            <a:off x="0" y="0"/>
                            <a:ext cx="5759451" cy="6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9451" h="6985">
                                <a:moveTo>
                                  <a:pt x="0" y="6985"/>
                                </a:moveTo>
                                <a:lnTo>
                                  <a:pt x="5759451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B6D37B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43" style="width:453.5pt;height:0.549988pt;mso-position-horizontal-relative:char;mso-position-vertical-relative:line" coordsize="57594,69">
                <v:shape id="Shape 28" style="position:absolute;width:57594;height:69;left:0;top:0;" coordsize="5759451,6985" path="m0,6985l5759451,0">
                  <v:stroke weight="0.5pt" endcap="flat" joinstyle="miter" miterlimit="10" on="true" color="#b6d37b"/>
                  <v:fill on="false" color="#000000" opacity="0"/>
                </v:shape>
              </v:group>
            </w:pict>
          </mc:Fallback>
        </mc:AlternateContent>
      </w:r>
      <w:r>
        <w:rPr>
          <w:sz w:val="16"/>
        </w:rPr>
        <w:t xml:space="preserve"> </w:t>
      </w:r>
    </w:p>
    <w:p w14:paraId="6B27E447" w14:textId="77777777" w:rsidR="00BF7319" w:rsidRDefault="00000000">
      <w:pPr>
        <w:spacing w:after="12" w:line="259" w:lineRule="auto"/>
        <w:ind w:left="412" w:right="0" w:firstLine="0"/>
        <w:jc w:val="center"/>
      </w:pPr>
      <w:r>
        <w:rPr>
          <w:sz w:val="16"/>
        </w:rPr>
        <w:t xml:space="preserve"> </w:t>
      </w:r>
      <w:r>
        <w:rPr>
          <w:sz w:val="16"/>
        </w:rPr>
        <w:tab/>
        <w:t xml:space="preserve">  </w:t>
      </w:r>
    </w:p>
    <w:p w14:paraId="746D76CB" w14:textId="77777777" w:rsidR="00BF7319" w:rsidRDefault="00000000">
      <w:pPr>
        <w:spacing w:after="0" w:line="259" w:lineRule="auto"/>
        <w:ind w:left="378" w:right="0" w:firstLine="0"/>
        <w:jc w:val="center"/>
      </w:pPr>
      <w:r>
        <w:rPr>
          <w:sz w:val="16"/>
        </w:rPr>
        <w:t xml:space="preserve"> </w:t>
      </w:r>
    </w:p>
    <w:p w14:paraId="26734574" w14:textId="77777777" w:rsidR="00BF7319" w:rsidRDefault="00000000">
      <w:pPr>
        <w:spacing w:after="0" w:line="259" w:lineRule="auto"/>
        <w:ind w:left="378" w:right="0" w:firstLine="0"/>
        <w:jc w:val="center"/>
      </w:pPr>
      <w:r>
        <w:rPr>
          <w:sz w:val="16"/>
        </w:rPr>
        <w:t xml:space="preserve"> </w:t>
      </w:r>
    </w:p>
    <w:p w14:paraId="2F3C48C9" w14:textId="77777777" w:rsidR="00BF7319" w:rsidRDefault="00000000">
      <w:pPr>
        <w:spacing w:after="10" w:line="264" w:lineRule="auto"/>
        <w:ind w:left="346" w:right="0"/>
        <w:jc w:val="center"/>
      </w:pPr>
      <w:r>
        <w:rPr>
          <w:b/>
          <w:sz w:val="28"/>
        </w:rPr>
        <w:t xml:space="preserve">I. Bevezetés </w:t>
      </w:r>
    </w:p>
    <w:p w14:paraId="36C11219" w14:textId="77777777" w:rsidR="00BF7319" w:rsidRDefault="00000000">
      <w:pPr>
        <w:spacing w:after="66" w:line="259" w:lineRule="auto"/>
        <w:ind w:left="341" w:right="0" w:firstLine="0"/>
        <w:jc w:val="left"/>
      </w:pPr>
      <w:r>
        <w:t xml:space="preserve"> </w:t>
      </w:r>
    </w:p>
    <w:p w14:paraId="27E02313" w14:textId="77777777" w:rsidR="00BF7319" w:rsidRDefault="00000000">
      <w:pPr>
        <w:spacing w:after="0"/>
        <w:ind w:left="-15" w:right="0" w:firstLine="341"/>
      </w:pPr>
      <w:r>
        <w:t xml:space="preserve">A Nemzeti Kutatási, Fejlesztési és Innovációs Alapból finanszírozott pályázati kiírások bemeneti követelményeinek teljesítése, a pályázati kiírásokon való sikeres részvétel és a projekt reális összköltségének megítélése érdekében fontos, hogy a támogatást igénylőnek (pályázónak) világos tudása és képe legyen a benyújtott projekt műszaki érettségéről. Ennek megállapítására általánosan elfogadott a technológiai készenléti szint (TRL) keretrendszer használata. </w:t>
      </w:r>
    </w:p>
    <w:p w14:paraId="5CAE4925" w14:textId="77777777" w:rsidR="00BF7319" w:rsidRDefault="00000000">
      <w:pPr>
        <w:spacing w:after="4"/>
        <w:ind w:left="-15" w:right="0" w:firstLine="341"/>
      </w:pPr>
      <w:r>
        <w:t>A TRL keretrendszert a NASA az 1970-es években vezette be, hogy felmérje, feltörekvő technológiája készen áll-e az űrkutatásra. Az 1-től 9-ig terjedő skálát később általánosan alkalmazták a különböző iparági területeken. A 9. szint az alkalmazáskész, kipróbált legfejlettebb technológiának felel meg. Napjainkban számos jelentős innovációs finanszírozási program a technológiai készenléti szint keretrendszerét használja; ide tartoznak az Innovate UK és a Horizon Europe is. A pályázati kiírások gyakran a TRL szintre hivatkoznak.</w:t>
      </w:r>
      <w:r>
        <w:rPr>
          <w:sz w:val="21"/>
          <w:vertAlign w:val="superscript"/>
        </w:rPr>
        <w:footnoteReference w:id="1"/>
      </w:r>
      <w:r>
        <w:rPr>
          <w:sz w:val="21"/>
          <w:vertAlign w:val="superscript"/>
        </w:rPr>
        <w:t xml:space="preserve"> </w:t>
      </w:r>
      <w:r>
        <w:t>Például az EIC Transition pályázat a TRL 4-5/6 kezdeti szintről induló projekteket támogatja</w:t>
      </w:r>
      <w:r>
        <w:rPr>
          <w:sz w:val="21"/>
          <w:vertAlign w:val="superscript"/>
        </w:rPr>
        <w:footnoteReference w:id="2"/>
      </w:r>
      <w:r>
        <w:t xml:space="preserve">, az EIC Accelerator pedig vegyes finanszírozást nyújt, amely beruházási és támogatási összetevőket is tartalmaz, hogy a TRL 5-8-ról való előrehaladást támogassa. </w:t>
      </w:r>
    </w:p>
    <w:p w14:paraId="253907F4" w14:textId="77777777" w:rsidR="00BF7319" w:rsidRDefault="00000000">
      <w:pPr>
        <w:spacing w:after="4"/>
        <w:ind w:left="-15" w:right="0" w:firstLine="341"/>
      </w:pPr>
      <w:r>
        <w:t>Az alábbi besorolás segítséget kíván nyújtani a támogatást igénylőnek (pályázónak) a TRL szint minél pontosabb azonosításához. Arra szolgál, hogy a javaslattevő több szempont szerint felmérhesse, hogy meddig jutott el a fejlesztésben</w:t>
      </w:r>
      <w:r>
        <w:rPr>
          <w:sz w:val="21"/>
          <w:vertAlign w:val="superscript"/>
        </w:rPr>
        <w:footnoteReference w:id="3"/>
      </w:r>
      <w:r>
        <w:t xml:space="preserve">. Másfelől, a TRL szintek táblázatba foglalt részletes lebontása a projekt értékelőinek és nyomonkövetési szakértőinek is útmutatóul szolgál az értékelés és ellenőrzés szakaszaiban. </w:t>
      </w:r>
    </w:p>
    <w:p w14:paraId="17F2EA9E" w14:textId="77777777" w:rsidR="00BF7319" w:rsidRDefault="00000000">
      <w:pPr>
        <w:spacing w:after="0"/>
        <w:ind w:left="-15" w:right="0" w:firstLine="341"/>
      </w:pPr>
      <w:r>
        <w:t xml:space="preserve">Az itt ismertetett struktúra egy konkrét, sikeres szabadalmazást és piaci bevezetést megvalósító műszaki megoldás kidolgozásának TRL-lépéseit illusztrálja. </w:t>
      </w:r>
    </w:p>
    <w:p w14:paraId="5D1F741B" w14:textId="77777777" w:rsidR="00BF7319" w:rsidRDefault="00000000">
      <w:pPr>
        <w:spacing w:after="66" w:line="259" w:lineRule="auto"/>
        <w:ind w:left="341" w:right="0" w:firstLine="0"/>
        <w:jc w:val="left"/>
      </w:pPr>
      <w:r>
        <w:t xml:space="preserve"> </w:t>
      </w:r>
    </w:p>
    <w:p w14:paraId="1AB61F4E" w14:textId="77777777" w:rsidR="00BF7319" w:rsidRDefault="00000000">
      <w:pPr>
        <w:spacing w:after="131" w:line="246" w:lineRule="auto"/>
        <w:ind w:left="-15" w:right="0" w:firstLine="341"/>
      </w:pPr>
      <w:r>
        <w:lastRenderedPageBreak/>
        <w:t xml:space="preserve">További besorolást segítő leírás és példák találhatók:  </w:t>
      </w:r>
      <w:hyperlink r:id="rId14">
        <w:r>
          <w:rPr>
            <w:color w:val="0563C1"/>
            <w:u w:val="single" w:color="0563C1"/>
          </w:rPr>
          <w:t>https://horizoneuropencpportal.eu/store/trl</w:t>
        </w:r>
      </w:hyperlink>
      <w:hyperlink r:id="rId15">
        <w:r>
          <w:rPr>
            <w:color w:val="0563C1"/>
            <w:u w:val="single" w:color="0563C1"/>
          </w:rPr>
          <w:t>-</w:t>
        </w:r>
      </w:hyperlink>
      <w:hyperlink r:id="rId16">
        <w:r>
          <w:rPr>
            <w:color w:val="0563C1"/>
            <w:u w:val="single" w:color="0563C1"/>
          </w:rPr>
          <w:t>assessment</w:t>
        </w:r>
      </w:hyperlink>
      <w:hyperlink r:id="rId17">
        <w:r>
          <w:t xml:space="preserve"> </w:t>
        </w:r>
      </w:hyperlink>
    </w:p>
    <w:p w14:paraId="57DBB19A" w14:textId="77777777" w:rsidR="00BF7319" w:rsidRDefault="00000000">
      <w:pPr>
        <w:spacing w:after="202" w:line="256" w:lineRule="auto"/>
        <w:ind w:left="0" w:right="0" w:firstLine="0"/>
        <w:jc w:val="left"/>
      </w:pPr>
      <w:hyperlink r:id="rId18">
        <w:r>
          <w:rPr>
            <w:color w:val="0563C1"/>
            <w:u w:val="single" w:color="0563C1"/>
          </w:rPr>
          <w:t>https://horizoneuropencpportal.eu/sites/default/files/2022</w:t>
        </w:r>
      </w:hyperlink>
      <w:hyperlink r:id="rId19">
        <w:r>
          <w:rPr>
            <w:color w:val="0563C1"/>
            <w:u w:val="single" w:color="0563C1"/>
          </w:rPr>
          <w:t>-</w:t>
        </w:r>
      </w:hyperlink>
      <w:hyperlink r:id="rId20">
        <w:r>
          <w:rPr>
            <w:color w:val="0563C1"/>
            <w:u w:val="single" w:color="0563C1"/>
          </w:rPr>
          <w:t>12/trl</w:t>
        </w:r>
      </w:hyperlink>
      <w:hyperlink r:id="rId21">
        <w:r>
          <w:rPr>
            <w:color w:val="0563C1"/>
            <w:u w:val="single" w:color="0563C1"/>
          </w:rPr>
          <w:t>-</w:t>
        </w:r>
      </w:hyperlink>
      <w:hyperlink r:id="rId22">
        <w:r>
          <w:rPr>
            <w:color w:val="0563C1"/>
            <w:u w:val="single" w:color="0563C1"/>
          </w:rPr>
          <w:t>assessment</w:t>
        </w:r>
      </w:hyperlink>
      <w:hyperlink r:id="rId23">
        <w:r>
          <w:rPr>
            <w:color w:val="0563C1"/>
            <w:u w:val="single" w:color="0563C1"/>
          </w:rPr>
          <w:t>-</w:t>
        </w:r>
      </w:hyperlink>
      <w:hyperlink r:id="rId24">
        <w:r>
          <w:rPr>
            <w:color w:val="0563C1"/>
            <w:u w:val="single" w:color="0563C1"/>
          </w:rPr>
          <w:t>tool</w:t>
        </w:r>
      </w:hyperlink>
      <w:hyperlink r:id="rId25">
        <w:r>
          <w:rPr>
            <w:color w:val="0563C1"/>
            <w:u w:val="single" w:color="0563C1"/>
          </w:rPr>
          <w:t>-</w:t>
        </w:r>
      </w:hyperlink>
      <w:hyperlink r:id="rId26">
        <w:r>
          <w:rPr>
            <w:color w:val="0563C1"/>
            <w:u w:val="single" w:color="0563C1"/>
          </w:rPr>
          <w:t>guide</w:t>
        </w:r>
      </w:hyperlink>
      <w:hyperlink r:id="rId27"/>
      <w:hyperlink r:id="rId28">
        <w:r>
          <w:rPr>
            <w:color w:val="0563C1"/>
            <w:u w:val="single" w:color="0563C1"/>
          </w:rPr>
          <w:t>final.pdf</w:t>
        </w:r>
      </w:hyperlink>
      <w:hyperlink r:id="rId29">
        <w:r>
          <w:t xml:space="preserve"> </w:t>
        </w:r>
      </w:hyperlink>
    </w:p>
    <w:p w14:paraId="2239389D" w14:textId="77777777" w:rsidR="00BF7319" w:rsidRDefault="00000000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  <w:r>
        <w:rPr>
          <w:b/>
          <w:sz w:val="28"/>
        </w:rPr>
        <w:tab/>
        <w:t xml:space="preserve"> </w:t>
      </w:r>
    </w:p>
    <w:p w14:paraId="083DA672" w14:textId="77777777" w:rsidR="00BF7319" w:rsidRDefault="00000000">
      <w:pPr>
        <w:pStyle w:val="Cmsor1"/>
        <w:spacing w:after="177"/>
        <w:ind w:left="362" w:right="2827" w:hanging="362"/>
      </w:pPr>
      <w:r>
        <w:t xml:space="preserve">A TRL szintek és leírásuk </w:t>
      </w:r>
    </w:p>
    <w:p w14:paraId="40271ADC" w14:textId="77777777" w:rsidR="00BF7319" w:rsidRDefault="00000000">
      <w:pPr>
        <w:spacing w:after="0" w:line="259" w:lineRule="auto"/>
        <w:ind w:left="341" w:right="0" w:firstLine="0"/>
        <w:jc w:val="left"/>
      </w:pPr>
      <w:r>
        <w:t xml:space="preserve"> </w:t>
      </w:r>
    </w:p>
    <w:tbl>
      <w:tblPr>
        <w:tblStyle w:val="TableGrid"/>
        <w:tblW w:w="8778" w:type="dxa"/>
        <w:tblInd w:w="290" w:type="dxa"/>
        <w:tblCellMar>
          <w:top w:w="53" w:type="dxa"/>
          <w:left w:w="109" w:type="dxa"/>
          <w:bottom w:w="0" w:type="dxa"/>
          <w:right w:w="45" w:type="dxa"/>
        </w:tblCellMar>
        <w:tblLook w:val="04A0" w:firstRow="1" w:lastRow="0" w:firstColumn="1" w:lastColumn="0" w:noHBand="0" w:noVBand="1"/>
      </w:tblPr>
      <w:tblGrid>
        <w:gridCol w:w="1696"/>
        <w:gridCol w:w="7082"/>
      </w:tblGrid>
      <w:tr w:rsidR="00BF7319" w14:paraId="5D8B68CC" w14:textId="77777777">
        <w:trPr>
          <w:trHeight w:val="556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E53A6" w14:textId="77777777" w:rsidR="00BF7319" w:rsidRDefault="00000000">
            <w:pPr>
              <w:spacing w:after="0" w:line="259" w:lineRule="auto"/>
              <w:ind w:left="363" w:right="0" w:firstLine="0"/>
              <w:jc w:val="left"/>
            </w:pPr>
            <w:r>
              <w:rPr>
                <w:b/>
              </w:rPr>
              <w:t xml:space="preserve">TRL szint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BC618" w14:textId="77777777" w:rsidR="00BF7319" w:rsidRDefault="00000000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</w:rPr>
              <w:t xml:space="preserve">Leírás </w:t>
            </w:r>
          </w:p>
        </w:tc>
      </w:tr>
      <w:tr w:rsidR="00BF7319" w14:paraId="3043B697" w14:textId="77777777">
        <w:trPr>
          <w:trHeight w:val="300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48405178" w14:textId="77777777" w:rsidR="00BF7319" w:rsidRDefault="00000000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</w:rPr>
              <w:t xml:space="preserve">1.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66824FFE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Az ötlet, elv megléte, az alapkutatás megkezdése </w:t>
            </w:r>
          </w:p>
        </w:tc>
      </w:tr>
      <w:tr w:rsidR="00BF7319" w14:paraId="567F7A1B" w14:textId="77777777">
        <w:trPr>
          <w:trHeight w:val="594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0873D" w14:textId="77777777" w:rsidR="00BF7319" w:rsidRDefault="00000000">
            <w:pPr>
              <w:spacing w:after="0" w:line="259" w:lineRule="auto"/>
              <w:ind w:left="390" w:right="0" w:firstLine="0"/>
              <w:jc w:val="center"/>
            </w:pPr>
            <w:r>
              <w:rPr>
                <w:b/>
              </w:rPr>
              <w:t xml:space="preserve">1.1.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0F478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Az alapelvek megfigyelése, az anyagok vagy folyamatok mélyreható megértése.  </w:t>
            </w:r>
          </w:p>
        </w:tc>
      </w:tr>
      <w:tr w:rsidR="00BF7319" w14:paraId="05B524BF" w14:textId="77777777">
        <w:trPr>
          <w:trHeight w:val="595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C47D4" w14:textId="77777777" w:rsidR="00BF7319" w:rsidRDefault="00000000">
            <w:pPr>
              <w:spacing w:after="0" w:line="259" w:lineRule="auto"/>
              <w:ind w:left="387" w:right="0" w:firstLine="0"/>
              <w:jc w:val="center"/>
            </w:pPr>
            <w:r>
              <w:rPr>
                <w:b/>
              </w:rPr>
              <w:t xml:space="preserve">1.2.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C910C" w14:textId="77777777" w:rsidR="00BF7319" w:rsidRDefault="00000000">
            <w:pPr>
              <w:spacing w:after="0" w:line="259" w:lineRule="auto"/>
              <w:ind w:left="0" w:right="0" w:firstLine="0"/>
            </w:pPr>
            <w:r>
              <w:rPr>
                <w:i/>
                <w:u w:val="single" w:color="000000"/>
              </w:rPr>
              <w:t>Az 1. szint megvalósítását bizonyító dokumentumok</w:t>
            </w:r>
            <w:r>
              <w:rPr>
                <w:u w:val="single" w:color="000000"/>
              </w:rPr>
              <w:t>:</w:t>
            </w:r>
            <w:r>
              <w:t xml:space="preserve"> lektorált folyóiratokban megjelent közlemények a javasolt elvről vagy alkalmazásról. </w:t>
            </w:r>
          </w:p>
        </w:tc>
      </w:tr>
      <w:tr w:rsidR="00BF7319" w14:paraId="19609235" w14:textId="77777777">
        <w:trPr>
          <w:trHeight w:val="298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114F6D63" w14:textId="77777777" w:rsidR="00BF7319" w:rsidRDefault="00000000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 xml:space="preserve">2.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2F2429B3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Megalapozó kutatás elvégzése folyamatban van </w:t>
            </w:r>
          </w:p>
        </w:tc>
      </w:tr>
      <w:tr w:rsidR="00BF7319" w14:paraId="37D6EDD9" w14:textId="77777777">
        <w:trPr>
          <w:trHeight w:val="594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5B2BD" w14:textId="77777777" w:rsidR="00BF7319" w:rsidRDefault="00000000">
            <w:pPr>
              <w:spacing w:after="0" w:line="259" w:lineRule="auto"/>
              <w:ind w:left="388" w:right="0" w:firstLine="0"/>
              <w:jc w:val="center"/>
            </w:pPr>
            <w:r>
              <w:rPr>
                <w:b/>
              </w:rPr>
              <w:t xml:space="preserve">2.1.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6D6B0" w14:textId="77777777" w:rsidR="00BF7319" w:rsidRDefault="00000000">
            <w:pPr>
              <w:spacing w:after="0" w:line="259" w:lineRule="auto"/>
              <w:ind w:left="0" w:right="0" w:firstLine="0"/>
            </w:pPr>
            <w:r>
              <w:t xml:space="preserve">A gyakorlati alkalmazások kezdeti azonosítása. Az anyagok/folyamatok technológiai megfelelőségének igazolása. </w:t>
            </w:r>
          </w:p>
        </w:tc>
      </w:tr>
      <w:tr w:rsidR="00BF7319" w14:paraId="76F797AF" w14:textId="77777777">
        <w:trPr>
          <w:trHeight w:val="886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F801A" w14:textId="77777777" w:rsidR="00BF7319" w:rsidRDefault="00000000">
            <w:pPr>
              <w:spacing w:after="0" w:line="259" w:lineRule="auto"/>
              <w:ind w:left="390" w:right="0" w:firstLine="0"/>
              <w:jc w:val="center"/>
            </w:pPr>
            <w:r>
              <w:rPr>
                <w:b/>
              </w:rPr>
              <w:t xml:space="preserve">2.2.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23493" w14:textId="77777777" w:rsidR="00BF7319" w:rsidRDefault="00000000">
            <w:pPr>
              <w:spacing w:after="0" w:line="259" w:lineRule="auto"/>
              <w:ind w:left="0" w:right="64" w:firstLine="0"/>
            </w:pPr>
            <w:r>
              <w:t xml:space="preserve">Ebben a szakaszban az alkalmazások még spekulatív jellegűek, elemző tanulmányokra korlátozódnak. Az elv alátámasztására alkalmasak a publikációk és más referenciák.  </w:t>
            </w:r>
          </w:p>
        </w:tc>
      </w:tr>
      <w:tr w:rsidR="00BF7319" w14:paraId="5FFDCA45" w14:textId="77777777">
        <w:trPr>
          <w:trHeight w:val="59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2FBD4" w14:textId="77777777" w:rsidR="00BF7319" w:rsidRDefault="00000000">
            <w:pPr>
              <w:spacing w:after="0" w:line="259" w:lineRule="auto"/>
              <w:ind w:left="390" w:right="0" w:firstLine="0"/>
              <w:jc w:val="center"/>
            </w:pPr>
            <w:r>
              <w:rPr>
                <w:b/>
              </w:rPr>
              <w:t xml:space="preserve">2.3.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3B32F" w14:textId="77777777" w:rsidR="00BF7319" w:rsidRDefault="00000000">
            <w:pPr>
              <w:spacing w:after="0" w:line="259" w:lineRule="auto"/>
              <w:ind w:left="0" w:right="0" w:firstLine="0"/>
            </w:pPr>
            <w:r>
              <w:t xml:space="preserve">A munka legjava elemző jellegű, avagy a szakirodalom tanulmányozása révén a tudományos vonatkozások jobb megértését célozza. </w:t>
            </w:r>
          </w:p>
        </w:tc>
      </w:tr>
      <w:tr w:rsidR="00BF7319" w14:paraId="3776FC21" w14:textId="77777777">
        <w:trPr>
          <w:trHeight w:val="59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59BC0" w14:textId="77777777" w:rsidR="00BF7319" w:rsidRDefault="00000000">
            <w:pPr>
              <w:spacing w:after="0" w:line="259" w:lineRule="auto"/>
              <w:ind w:left="390" w:right="0" w:firstLine="0"/>
              <w:jc w:val="center"/>
            </w:pPr>
            <w:r>
              <w:rPr>
                <w:b/>
              </w:rPr>
              <w:t xml:space="preserve">2.4.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4D0B1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A TRL1 és a TRL2 szinten megvalósul a kísérleti fejlesztési szakaszok konceptualizálása. </w:t>
            </w:r>
          </w:p>
        </w:tc>
      </w:tr>
      <w:tr w:rsidR="00BF7319" w14:paraId="047A2CC0" w14:textId="77777777">
        <w:trPr>
          <w:trHeight w:val="885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3520E" w14:textId="77777777" w:rsidR="00BF7319" w:rsidRDefault="00000000">
            <w:pPr>
              <w:spacing w:after="0" w:line="259" w:lineRule="auto"/>
              <w:ind w:left="390" w:right="0" w:firstLine="0"/>
              <w:jc w:val="center"/>
            </w:pPr>
            <w:r>
              <w:rPr>
                <w:b/>
              </w:rPr>
              <w:t xml:space="preserve">2.5.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FDBA4" w14:textId="77777777" w:rsidR="00BF7319" w:rsidRDefault="00000000">
            <w:pPr>
              <w:spacing w:after="0" w:line="259" w:lineRule="auto"/>
              <w:ind w:left="0" w:right="59" w:firstLine="0"/>
            </w:pPr>
            <w:r>
              <w:rPr>
                <w:i/>
                <w:u w:val="single" w:color="000000"/>
              </w:rPr>
              <w:t>A 2. szint megvalósítását bizonyító dokumentumok</w:t>
            </w:r>
            <w:r>
              <w:rPr>
                <w:u w:val="single" w:color="000000"/>
              </w:rPr>
              <w:t>:</w:t>
            </w:r>
            <w:r>
              <w:t xml:space="preserve"> az alkalmazás/ működési elv dokumentált leírása, ami felméri a megoldás megvalósíthatóságát és előnyeit. </w:t>
            </w:r>
          </w:p>
        </w:tc>
      </w:tr>
      <w:tr w:rsidR="00BF7319" w14:paraId="1939D47A" w14:textId="77777777">
        <w:trPr>
          <w:trHeight w:val="300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5E137320" w14:textId="77777777" w:rsidR="00BF7319" w:rsidRDefault="00000000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 xml:space="preserve">3.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2B34875D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A technológia kialakítása, a működési elv bizonyítása </w:t>
            </w:r>
          </w:p>
        </w:tc>
      </w:tr>
      <w:tr w:rsidR="00BF7319" w14:paraId="3BB2C252" w14:textId="77777777">
        <w:trPr>
          <w:trHeight w:val="1175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9100E" w14:textId="77777777" w:rsidR="00BF7319" w:rsidRDefault="00000000">
            <w:pPr>
              <w:spacing w:after="0" w:line="259" w:lineRule="auto"/>
              <w:ind w:left="388" w:right="0" w:firstLine="0"/>
              <w:jc w:val="center"/>
            </w:pPr>
            <w:r>
              <w:rPr>
                <w:b/>
              </w:rPr>
              <w:t xml:space="preserve">3.1.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9CAB8" w14:textId="77777777" w:rsidR="00BF7319" w:rsidRDefault="00000000">
            <w:pPr>
              <w:spacing w:after="0" w:line="259" w:lineRule="auto"/>
              <w:ind w:left="0" w:right="61" w:firstLine="0"/>
            </w:pPr>
            <w:r>
              <w:t xml:space="preserve">Megkezdődik az alkalmazott kutatást megalapozó szakasz, és beindul a korai fejlesztés. Tanulmányok és/vagy laboratóriumi mérések és/vagy modellezések a különböző összetevőkre vonatkozó előrejelzéseket hivatottak igazolni. </w:t>
            </w:r>
          </w:p>
        </w:tc>
      </w:tr>
      <w:tr w:rsidR="00BF7319" w14:paraId="20314B90" w14:textId="77777777">
        <w:trPr>
          <w:trHeight w:val="886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59695" w14:textId="77777777" w:rsidR="00BF7319" w:rsidRDefault="00000000">
            <w:pPr>
              <w:spacing w:after="0" w:line="259" w:lineRule="auto"/>
              <w:ind w:left="390" w:right="0" w:firstLine="0"/>
              <w:jc w:val="center"/>
            </w:pPr>
            <w:r>
              <w:rPr>
                <w:b/>
              </w:rPr>
              <w:t xml:space="preserve">3.2.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EC751" w14:textId="77777777" w:rsidR="00BF7319" w:rsidRDefault="00000000">
            <w:pPr>
              <w:spacing w:after="0" w:line="259" w:lineRule="auto"/>
              <w:ind w:left="0" w:right="61" w:firstLine="0"/>
            </w:pPr>
            <w:r>
              <w:t xml:space="preserve">Analitikai és laboratóriumi vizsgálat a technológia különböző összetevőkre vonatkozó előrejelzések bizonyítására. Laboratóriumi tesztek és/vagy modellezések elvégzése a kritikus paraméterek mérésére. </w:t>
            </w:r>
            <w:r>
              <w:rPr>
                <w:b/>
              </w:rPr>
              <w:t xml:space="preserve"> </w:t>
            </w:r>
          </w:p>
        </w:tc>
      </w:tr>
      <w:tr w:rsidR="00BF7319" w14:paraId="48C28DDA" w14:textId="77777777">
        <w:trPr>
          <w:trHeight w:val="1177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CA4B0" w14:textId="77777777" w:rsidR="00BF7319" w:rsidRDefault="00000000">
            <w:pPr>
              <w:spacing w:after="0" w:line="259" w:lineRule="auto"/>
              <w:ind w:left="390" w:right="0" w:firstLine="0"/>
              <w:jc w:val="center"/>
            </w:pPr>
            <w:r>
              <w:rPr>
                <w:b/>
              </w:rPr>
              <w:lastRenderedPageBreak/>
              <w:t xml:space="preserve">3.3.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6B174" w14:textId="77777777" w:rsidR="00BF7319" w:rsidRDefault="00000000">
            <w:pPr>
              <w:spacing w:after="0" w:line="259" w:lineRule="auto"/>
              <w:ind w:left="0" w:right="59" w:firstLine="0"/>
            </w:pPr>
            <w:r>
              <w:t xml:space="preserve">A technológia különböző összetevői validáltak, de nem feltétlenül fogják a teljes rendszer részét képezni. Modellezés és szimuláció szükséges lehet a fizikai kísérletek kiegészítésére. A TRL 3 szinten kialakításra kerül és részben megkezdődik a kísérleti fejlesztési szakaszok mérési eljárása.  </w:t>
            </w:r>
          </w:p>
        </w:tc>
      </w:tr>
      <w:tr w:rsidR="00BF7319" w14:paraId="3E3F5DD5" w14:textId="77777777">
        <w:trPr>
          <w:trHeight w:val="884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8AE72" w14:textId="77777777" w:rsidR="00BF7319" w:rsidRDefault="00000000">
            <w:pPr>
              <w:spacing w:after="0" w:line="259" w:lineRule="auto"/>
              <w:ind w:left="390" w:right="0" w:firstLine="0"/>
              <w:jc w:val="center"/>
            </w:pPr>
            <w:r>
              <w:rPr>
                <w:b/>
              </w:rPr>
              <w:t xml:space="preserve">3.4.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94BD8" w14:textId="77777777" w:rsidR="00BF7319" w:rsidRDefault="00000000">
            <w:pPr>
              <w:spacing w:after="0" w:line="259" w:lineRule="auto"/>
              <w:ind w:left="0" w:right="56" w:firstLine="0"/>
            </w:pPr>
            <w:r>
              <w:rPr>
                <w:i/>
                <w:u w:val="single" w:color="000000"/>
              </w:rPr>
              <w:t>A 3. szint megvalósítását bizonyító dokumentumok</w:t>
            </w:r>
            <w:r>
              <w:rPr>
                <w:u w:val="single" w:color="000000"/>
              </w:rPr>
              <w:t>:</w:t>
            </w:r>
            <w:r>
              <w:t xml:space="preserve"> dokumentált analitikai/kísérleti eredmények, amelyek alátámasztják a kulcsparaméterekre vonatkozó előrejelzéseket.  </w:t>
            </w:r>
          </w:p>
        </w:tc>
      </w:tr>
      <w:tr w:rsidR="00BF7319" w14:paraId="4B62C334" w14:textId="77777777">
        <w:trPr>
          <w:trHeight w:val="590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1FFF8F58" w14:textId="77777777" w:rsidR="00BF7319" w:rsidRDefault="00000000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 xml:space="preserve">4.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2A2AEA14" w14:textId="77777777" w:rsidR="00BF7319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 xml:space="preserve">Az alfa prototípus laboratóriumi tesztelése, az összetevők és az eljárások validálása </w:t>
            </w:r>
          </w:p>
        </w:tc>
      </w:tr>
      <w:tr w:rsidR="00BF7319" w14:paraId="4971AA72" w14:textId="77777777">
        <w:trPr>
          <w:trHeight w:val="885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775BD" w14:textId="77777777" w:rsidR="00BF7319" w:rsidRDefault="00000000">
            <w:pPr>
              <w:spacing w:after="0" w:line="259" w:lineRule="auto"/>
              <w:ind w:left="388" w:right="0" w:firstLine="0"/>
              <w:jc w:val="center"/>
            </w:pPr>
            <w:r>
              <w:rPr>
                <w:b/>
              </w:rPr>
              <w:t xml:space="preserve">4.1.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C90F4" w14:textId="77777777" w:rsidR="00BF7319" w:rsidRDefault="00000000">
            <w:pPr>
              <w:spacing w:after="0" w:line="259" w:lineRule="auto"/>
              <w:ind w:left="0" w:right="64" w:firstLine="0"/>
            </w:pPr>
            <w:r>
              <w:t xml:space="preserve">Az alfa prototípus összetevőinek validálása folyamatban van: a komponensek tervezése, fejlesztése és laboratóriumi tesztelése, és/vagy az eljárások laboratóriumi tesztelése. </w:t>
            </w:r>
            <w:r>
              <w:rPr>
                <w:b/>
              </w:rPr>
              <w:t xml:space="preserve"> </w:t>
            </w:r>
          </w:p>
        </w:tc>
      </w:tr>
    </w:tbl>
    <w:p w14:paraId="28A4AE08" w14:textId="77777777" w:rsidR="00BF7319" w:rsidRDefault="00BF7319">
      <w:pPr>
        <w:spacing w:after="0" w:line="259" w:lineRule="auto"/>
        <w:ind w:left="-1416" w:right="9" w:firstLine="0"/>
        <w:jc w:val="left"/>
      </w:pPr>
    </w:p>
    <w:tbl>
      <w:tblPr>
        <w:tblStyle w:val="TableGrid"/>
        <w:tblW w:w="8778" w:type="dxa"/>
        <w:tblInd w:w="290" w:type="dxa"/>
        <w:tblCellMar>
          <w:top w:w="53" w:type="dxa"/>
          <w:left w:w="109" w:type="dxa"/>
          <w:bottom w:w="0" w:type="dxa"/>
          <w:right w:w="44" w:type="dxa"/>
        </w:tblCellMar>
        <w:tblLook w:val="04A0" w:firstRow="1" w:lastRow="0" w:firstColumn="1" w:lastColumn="0" w:noHBand="0" w:noVBand="1"/>
      </w:tblPr>
      <w:tblGrid>
        <w:gridCol w:w="1696"/>
        <w:gridCol w:w="7082"/>
      </w:tblGrid>
      <w:tr w:rsidR="00BF7319" w14:paraId="62A10126" w14:textId="77777777">
        <w:trPr>
          <w:trHeight w:val="88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541D8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4.2.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BEC9C" w14:textId="77777777" w:rsidR="00BF7319" w:rsidRDefault="00000000">
            <w:pPr>
              <w:spacing w:after="0" w:line="259" w:lineRule="auto"/>
              <w:ind w:left="0" w:right="61" w:firstLine="0"/>
            </w:pPr>
            <w:r>
              <w:t>Az eredmények alátámasztják, hogy a mind a projekt célkitűzése, mind a teljesítménymutatók megvalósíthatók a tervezett vagy modellezett rendszerrel/eljárással.</w:t>
            </w:r>
            <w:r>
              <w:rPr>
                <w:sz w:val="21"/>
                <w:vertAlign w:val="superscript"/>
              </w:rPr>
              <w:footnoteReference w:id="4"/>
            </w:r>
            <w:r>
              <w:rPr>
                <w:b/>
              </w:rPr>
              <w:t xml:space="preserve"> </w:t>
            </w:r>
          </w:p>
        </w:tc>
      </w:tr>
      <w:tr w:rsidR="00BF7319" w14:paraId="2A35E0F4" w14:textId="77777777">
        <w:trPr>
          <w:trHeight w:val="59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5FEE5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4.3.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08D34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A fő komponensek összeszerelésével az együttes működőképességüket igazolják.  </w:t>
            </w:r>
          </w:p>
        </w:tc>
      </w:tr>
      <w:tr w:rsidR="00BF7319" w14:paraId="516720F8" w14:textId="77777777">
        <w:trPr>
          <w:trHeight w:val="59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3BB0B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4.4.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B7CFF" w14:textId="77777777" w:rsidR="00BF7319" w:rsidRDefault="00000000">
            <w:pPr>
              <w:spacing w:after="0" w:line="259" w:lineRule="auto"/>
              <w:ind w:left="0" w:right="0" w:firstLine="0"/>
            </w:pPr>
            <w:r>
              <w:t xml:space="preserve">A TRL 4-6 átmenetet képez a tudományos kutatástól a mérnöki megvalósítás felé, hidat ver a fejlesztés és a demonstráció között.  </w:t>
            </w:r>
          </w:p>
        </w:tc>
      </w:tr>
      <w:tr w:rsidR="00BF7319" w14:paraId="71E0E639" w14:textId="77777777">
        <w:trPr>
          <w:trHeight w:val="886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8BE3B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4.5.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6CC1A" w14:textId="77777777" w:rsidR="00BF7319" w:rsidRDefault="00000000">
            <w:pPr>
              <w:spacing w:after="0" w:line="259" w:lineRule="auto"/>
              <w:ind w:left="0" w:right="59" w:firstLine="0"/>
            </w:pPr>
            <w:r>
              <w:rPr>
                <w:i/>
                <w:u w:val="single" w:color="000000"/>
              </w:rPr>
              <w:t>A 4. szint megvalósítását bizonyító dokumentumok</w:t>
            </w:r>
            <w:r>
              <w:rPr>
                <w:u w:val="single" w:color="000000"/>
              </w:rPr>
              <w:t>:</w:t>
            </w:r>
            <w:r>
              <w:t xml:space="preserve"> dokumentált tesztelési teljesítmény, ami alátámasztja az analitikai előrejelzéseket. A releváns működési környezet dokumentált meghatározása. </w:t>
            </w:r>
          </w:p>
        </w:tc>
      </w:tr>
      <w:tr w:rsidR="00BF7319" w14:paraId="459349A1" w14:textId="77777777">
        <w:trPr>
          <w:trHeight w:val="589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5BECFE4F" w14:textId="77777777" w:rsidR="00BF7319" w:rsidRDefault="00000000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</w:rPr>
              <w:t xml:space="preserve">5.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2DE5023A" w14:textId="77777777" w:rsidR="00BF7319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 xml:space="preserve">Kis skálán működő prototípus, az integrált vagy félig integrált rendszer laboratóriumi tesztelése </w:t>
            </w:r>
          </w:p>
        </w:tc>
      </w:tr>
      <w:tr w:rsidR="00BF7319" w14:paraId="47B658ED" w14:textId="77777777">
        <w:trPr>
          <w:trHeight w:val="594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C882B" w14:textId="77777777" w:rsidR="00BF7319" w:rsidRDefault="00000000">
            <w:pPr>
              <w:spacing w:after="0" w:line="259" w:lineRule="auto"/>
              <w:ind w:left="387" w:right="0" w:firstLine="0"/>
              <w:jc w:val="center"/>
            </w:pPr>
            <w:r>
              <w:rPr>
                <w:b/>
              </w:rPr>
              <w:t xml:space="preserve">5.1.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0BBED" w14:textId="77777777" w:rsidR="00BF7319" w:rsidRDefault="00000000">
            <w:pPr>
              <w:spacing w:after="0" w:line="259" w:lineRule="auto"/>
              <w:ind w:left="0" w:right="0" w:firstLine="0"/>
            </w:pPr>
            <w:r>
              <w:t xml:space="preserve">Folyamatban van a rendszer összetevőinek és/vagy az eljárások validálása, releváns környezetben. </w:t>
            </w:r>
          </w:p>
        </w:tc>
      </w:tr>
      <w:tr w:rsidR="00BF7319" w14:paraId="625A5CBA" w14:textId="77777777">
        <w:trPr>
          <w:trHeight w:val="59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E502B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5.2.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653D1" w14:textId="77777777" w:rsidR="00BF7319" w:rsidRDefault="00000000">
            <w:pPr>
              <w:spacing w:after="0" w:line="259" w:lineRule="auto"/>
              <w:ind w:left="0" w:right="0" w:firstLine="0"/>
            </w:pPr>
            <w:r>
              <w:t xml:space="preserve">A fő komponensek már integráltak a rendszerben/eljárásban, amelynek konfigurációja már azonos a végső rendszerével/eljárással.  </w:t>
            </w:r>
          </w:p>
        </w:tc>
      </w:tr>
      <w:tr w:rsidR="00BF7319" w14:paraId="70CBA465" w14:textId="77777777">
        <w:trPr>
          <w:trHeight w:val="59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449AD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5.3.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B403A" w14:textId="77777777" w:rsidR="00BF7319" w:rsidRDefault="00000000">
            <w:pPr>
              <w:spacing w:after="0" w:line="259" w:lineRule="auto"/>
              <w:ind w:left="0" w:right="0" w:firstLine="0"/>
            </w:pPr>
            <w:r>
              <w:t xml:space="preserve">A prototípuson végzett mérések összehasonlítása a laboratóriumi méretben történt előzetes bevizsgálással. </w:t>
            </w:r>
          </w:p>
        </w:tc>
      </w:tr>
      <w:tr w:rsidR="00BF7319" w14:paraId="4B8031EE" w14:textId="77777777">
        <w:trPr>
          <w:trHeight w:val="1469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EA0CA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5.4.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B4703" w14:textId="77777777" w:rsidR="00BF7319" w:rsidRDefault="00000000">
            <w:pPr>
              <w:spacing w:after="0" w:line="259" w:lineRule="auto"/>
              <w:ind w:left="0" w:right="58" w:firstLine="0"/>
            </w:pPr>
            <w:r>
              <w:t xml:space="preserve">A tudományos kockázat megszűnik a TRL 5 szakasz végére. Az eredményeknek statisztikai szempontból relevánsaknak kell lenniük. A TRL 4 és TRL 5 közötti fő különbség, hogy a rendszer/eljárás valósághűbb az alkalmazás szempontjából és a környezet is közelebb áll a valós működési környezethez. </w:t>
            </w:r>
          </w:p>
        </w:tc>
      </w:tr>
      <w:tr w:rsidR="00BF7319" w14:paraId="3BFA599C" w14:textId="77777777">
        <w:trPr>
          <w:trHeight w:val="884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84A43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lastRenderedPageBreak/>
              <w:t xml:space="preserve">5.5.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594CE" w14:textId="77777777" w:rsidR="00BF7319" w:rsidRDefault="00000000">
            <w:pPr>
              <w:spacing w:after="0" w:line="259" w:lineRule="auto"/>
              <w:ind w:left="0" w:right="59" w:firstLine="0"/>
            </w:pPr>
            <w:r>
              <w:rPr>
                <w:i/>
                <w:u w:val="single" w:color="000000"/>
              </w:rPr>
              <w:t>Az 5. szint megvalósítását bizonyító dokumentumok</w:t>
            </w:r>
            <w:r>
              <w:rPr>
                <w:u w:val="single" w:color="000000"/>
              </w:rPr>
              <w:t>:</w:t>
            </w:r>
            <w:r>
              <w:t xml:space="preserve"> dokumentált tesztelési teljesítmény, ami alátámasztja az analitikai előrejelzéseket. A skálázási követelmények dokumentált meghatározása. </w:t>
            </w:r>
          </w:p>
        </w:tc>
      </w:tr>
      <w:tr w:rsidR="00BF7319" w14:paraId="0A8D3417" w14:textId="77777777">
        <w:trPr>
          <w:trHeight w:val="590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0E4C870C" w14:textId="77777777" w:rsidR="00BF7319" w:rsidRDefault="00000000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</w:rPr>
              <w:t xml:space="preserve">6.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28E594E1" w14:textId="77777777" w:rsidR="00BF7319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 xml:space="preserve">Nagy skálájú prototípus elkészítése, tesztelése és hitelesítése. A TRL 6 jelenti a mérnöki fejlesztés kezdetét. </w:t>
            </w:r>
          </w:p>
        </w:tc>
      </w:tr>
      <w:tr w:rsidR="00BF7319" w14:paraId="2C877CDB" w14:textId="77777777">
        <w:trPr>
          <w:trHeight w:val="884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3FA3E" w14:textId="77777777" w:rsidR="00BF7319" w:rsidRDefault="00000000">
            <w:pPr>
              <w:spacing w:after="0" w:line="259" w:lineRule="auto"/>
              <w:ind w:left="387" w:right="0" w:firstLine="0"/>
              <w:jc w:val="center"/>
            </w:pPr>
            <w:r>
              <w:rPr>
                <w:b/>
              </w:rPr>
              <w:t xml:space="preserve">6.1.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41CF4" w14:textId="77777777" w:rsidR="00BF7319" w:rsidRDefault="00000000">
            <w:pPr>
              <w:spacing w:after="0" w:line="259" w:lineRule="auto"/>
              <w:ind w:left="0" w:right="65" w:firstLine="0"/>
            </w:pPr>
            <w:r>
              <w:t xml:space="preserve">A béta prototípus elkészült; megvalósul a rendszer/eljárás bizonyítása működési környezetben. A prototípus a végső rendszer/eljárás összes feladatát el kell végezze, és ez lehetővé teszi a költségmodell finomítását. </w:t>
            </w:r>
          </w:p>
        </w:tc>
      </w:tr>
      <w:tr w:rsidR="00BF7319" w14:paraId="05D11EA9" w14:textId="77777777">
        <w:trPr>
          <w:trHeight w:val="1177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DAA95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6.2.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60BD7" w14:textId="77777777" w:rsidR="00BF7319" w:rsidRDefault="00000000">
            <w:pPr>
              <w:spacing w:after="0" w:line="259" w:lineRule="auto"/>
              <w:ind w:left="0" w:right="61" w:firstLine="0"/>
            </w:pPr>
            <w:r>
              <w:t xml:space="preserve">Mérnökségi léptékű prototípus tesztelése releváns működési környezetben. Ez jelentős lépés a technológiai érettség bizonyításához. Egybe kell vetni a nagy skálájú prototípus és a kis skálán működő prototípus működését, és abból előrevetíteni a működő rendszer/eljárás várható működését.  </w:t>
            </w:r>
          </w:p>
        </w:tc>
      </w:tr>
      <w:tr w:rsidR="00BF7319" w14:paraId="7382F56E" w14:textId="77777777">
        <w:trPr>
          <w:trHeight w:val="1176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1EDEB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6.3.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136DF" w14:textId="77777777" w:rsidR="00BF7319" w:rsidRDefault="00000000">
            <w:pPr>
              <w:spacing w:after="0" w:line="259" w:lineRule="auto"/>
              <w:ind w:left="0" w:right="65" w:firstLine="0"/>
            </w:pPr>
            <w:r>
              <w:t xml:space="preserve">A TRL 5 és TRL 6 szintek közötti fő különbség, hogy a laboratóriumi szintről a mérnökségi szintre emeli a projektet, és lehetővé teszi a méretnövelési tényezők meghatározását, amelyek által a végleges rendszer/eljárás megtervezhető. </w:t>
            </w:r>
          </w:p>
        </w:tc>
      </w:tr>
      <w:tr w:rsidR="00BF7319" w14:paraId="2ADAF5E9" w14:textId="77777777">
        <w:trPr>
          <w:trHeight w:val="59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E76E0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6.4.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310DD" w14:textId="77777777" w:rsidR="00BF7319" w:rsidRDefault="00000000">
            <w:pPr>
              <w:spacing w:after="0" w:line="259" w:lineRule="auto"/>
              <w:ind w:left="0" w:right="0" w:firstLine="0"/>
            </w:pPr>
            <w:r>
              <w:rPr>
                <w:i/>
                <w:u w:val="single" w:color="000000"/>
              </w:rPr>
              <w:t>A 6. szint megvalósítását bizonyító dokumentumok</w:t>
            </w:r>
            <w:r>
              <w:rPr>
                <w:u w:val="single" w:color="000000"/>
              </w:rPr>
              <w:t>:</w:t>
            </w:r>
            <w:r>
              <w:t xml:space="preserve"> dokumentált nagy skálájú tesztelési teljesítmény, ami alátámasztja az analitikai előrejelzéseket. </w:t>
            </w:r>
          </w:p>
        </w:tc>
      </w:tr>
      <w:tr w:rsidR="00BF7319" w14:paraId="1706F671" w14:textId="77777777">
        <w:trPr>
          <w:trHeight w:val="590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2D18AD5C" w14:textId="77777777" w:rsidR="00BF7319" w:rsidRDefault="00000000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</w:rPr>
              <w:t xml:space="preserve">7.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26BF615D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Integrált </w:t>
            </w:r>
            <w:r>
              <w:rPr>
                <w:b/>
              </w:rPr>
              <w:tab/>
              <w:t xml:space="preserve">prototípus </w:t>
            </w:r>
            <w:r>
              <w:rPr>
                <w:b/>
              </w:rPr>
              <w:tab/>
              <w:t xml:space="preserve">rendszer/eljárás </w:t>
            </w:r>
            <w:r>
              <w:rPr>
                <w:b/>
              </w:rPr>
              <w:tab/>
              <w:t xml:space="preserve">megléte, </w:t>
            </w:r>
            <w:r>
              <w:rPr>
                <w:b/>
              </w:rPr>
              <w:tab/>
              <w:t xml:space="preserve">tesztelése </w:t>
            </w:r>
            <w:r>
              <w:rPr>
                <w:b/>
              </w:rPr>
              <w:tab/>
              <w:t xml:space="preserve">és hitelesítése </w:t>
            </w:r>
          </w:p>
        </w:tc>
      </w:tr>
      <w:tr w:rsidR="00BF7319" w14:paraId="73F9B0ED" w14:textId="77777777">
        <w:trPr>
          <w:trHeight w:val="884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915BC" w14:textId="77777777" w:rsidR="00BF7319" w:rsidRDefault="00000000">
            <w:pPr>
              <w:spacing w:after="0" w:line="259" w:lineRule="auto"/>
              <w:ind w:left="387" w:right="0" w:firstLine="0"/>
              <w:jc w:val="center"/>
            </w:pPr>
            <w:r>
              <w:rPr>
                <w:b/>
              </w:rPr>
              <w:t xml:space="preserve">7.1.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3881E" w14:textId="77777777" w:rsidR="00BF7319" w:rsidRDefault="00000000">
            <w:pPr>
              <w:spacing w:after="0" w:line="259" w:lineRule="auto"/>
              <w:ind w:left="0" w:right="62" w:firstLine="0"/>
            </w:pPr>
            <w:r>
              <w:t>Rendszer/eljárás bizonyítása működési környezetben, integrált pilot rendszer szinten. Ez jelentős előrelépést jelent a TRL 6 szinthez képest. A rendszer végső dizájnja csaknem végleges.</w:t>
            </w:r>
            <w:r>
              <w:rPr>
                <w:b/>
              </w:rPr>
              <w:t xml:space="preserve"> </w:t>
            </w:r>
          </w:p>
        </w:tc>
      </w:tr>
      <w:tr w:rsidR="00BF7319" w14:paraId="57BF5A88" w14:textId="77777777">
        <w:trPr>
          <w:trHeight w:val="88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56B1F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7.2.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B5F99" w14:textId="77777777" w:rsidR="00BF7319" w:rsidRDefault="00000000">
            <w:pPr>
              <w:spacing w:after="0" w:line="259" w:lineRule="auto"/>
              <w:ind w:left="0" w:right="63" w:firstLine="0"/>
            </w:pPr>
            <w:r>
              <w:t xml:space="preserve">E szakasz célja a mérnökségi kockázat kiküszöbölése. Fontos a méretezés követése, mivel az számos mérnöki és gyártási nehézséget mutathat ki a TRL6 és TRL 7 közötti átmenet során. </w:t>
            </w:r>
          </w:p>
        </w:tc>
      </w:tr>
      <w:tr w:rsidR="00BF7319" w14:paraId="2B296B4E" w14:textId="77777777">
        <w:trPr>
          <w:trHeight w:val="887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0E719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7.3.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EA62A" w14:textId="77777777" w:rsidR="00BF7319" w:rsidRDefault="00000000">
            <w:pPr>
              <w:spacing w:after="0" w:line="259" w:lineRule="auto"/>
              <w:ind w:left="0" w:right="61" w:firstLine="0"/>
            </w:pPr>
            <w:r>
              <w:rPr>
                <w:i/>
                <w:u w:val="single" w:color="000000"/>
              </w:rPr>
              <w:t>A 7. szint megvalósítását bizonyító dokumentumok</w:t>
            </w:r>
            <w:r>
              <w:rPr>
                <w:u w:val="single" w:color="000000"/>
              </w:rPr>
              <w:t>:</w:t>
            </w:r>
            <w:r>
              <w:t xml:space="preserve"> dokumentált és hitelesített rendszer szintű tesztelési teljesítmény, ami alátámasztja az analitikai előrejelzéseket. </w:t>
            </w:r>
          </w:p>
        </w:tc>
      </w:tr>
      <w:tr w:rsidR="00BF7319" w14:paraId="42826E13" w14:textId="77777777">
        <w:trPr>
          <w:trHeight w:val="590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6F066534" w14:textId="77777777" w:rsidR="00BF7319" w:rsidRDefault="00000000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</w:rPr>
              <w:t xml:space="preserve">8.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63655BDF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Kereskedelmi </w:t>
            </w:r>
            <w:r>
              <w:rPr>
                <w:b/>
              </w:rPr>
              <w:tab/>
              <w:t xml:space="preserve">környezetbe </w:t>
            </w:r>
            <w:r>
              <w:rPr>
                <w:b/>
              </w:rPr>
              <w:tab/>
              <w:t xml:space="preserve">ágyazott </w:t>
            </w:r>
            <w:r>
              <w:rPr>
                <w:b/>
              </w:rPr>
              <w:tab/>
              <w:t xml:space="preserve">demonstrációs </w:t>
            </w:r>
            <w:r>
              <w:rPr>
                <w:b/>
              </w:rPr>
              <w:tab/>
              <w:t xml:space="preserve">rendszer felállítása és működtetése </w:t>
            </w:r>
          </w:p>
        </w:tc>
      </w:tr>
      <w:tr w:rsidR="00BF7319" w14:paraId="4B3ED5D3" w14:textId="77777777">
        <w:trPr>
          <w:trHeight w:val="594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5B69B" w14:textId="77777777" w:rsidR="00BF7319" w:rsidRDefault="00000000">
            <w:pPr>
              <w:spacing w:after="0" w:line="259" w:lineRule="auto"/>
              <w:ind w:left="387" w:right="0" w:firstLine="0"/>
              <w:jc w:val="center"/>
            </w:pPr>
            <w:r>
              <w:rPr>
                <w:b/>
              </w:rPr>
              <w:t xml:space="preserve">8.1.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B1AC5" w14:textId="77777777" w:rsidR="00BF7319" w:rsidRDefault="00000000">
            <w:pPr>
              <w:spacing w:after="0" w:line="259" w:lineRule="auto"/>
              <w:ind w:left="0" w:right="0" w:firstLine="0"/>
            </w:pPr>
            <w:r>
              <w:t>Kialakított rendszer/eljárás bizonyítása teszt és demonstráció révén (kereskedelmi bevezetés előtti demonstráció).</w:t>
            </w:r>
            <w:r>
              <w:rPr>
                <w:b/>
              </w:rPr>
              <w:t xml:space="preserve"> </w:t>
            </w:r>
          </w:p>
        </w:tc>
      </w:tr>
      <w:tr w:rsidR="00BF7319" w14:paraId="1D4F0E99" w14:textId="77777777">
        <w:trPr>
          <w:trHeight w:val="88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DECD3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8.2.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32713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t>A végső formájában és az elvárt körülmények között a technológia bizonyítottan működőképes. Ez a szakasz jelenti a rendszerfejlesztés befejezését.</w:t>
            </w:r>
            <w:r>
              <w:rPr>
                <w:b/>
              </w:rPr>
              <w:t xml:space="preserve"> </w:t>
            </w:r>
          </w:p>
        </w:tc>
      </w:tr>
      <w:tr w:rsidR="00BF7319" w14:paraId="0630AE8F" w14:textId="77777777">
        <w:trPr>
          <w:trHeight w:val="59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FBF72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8.3.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07DA4" w14:textId="77777777" w:rsidR="00BF7319" w:rsidRDefault="00000000">
            <w:pPr>
              <w:spacing w:after="0" w:line="259" w:lineRule="auto"/>
              <w:ind w:left="0" w:right="0" w:firstLine="0"/>
            </w:pPr>
            <w:r>
              <w:t xml:space="preserve">Meghatározhatók a valós gyártási költségek. A modell utolsó finomításai számba vehetők. </w:t>
            </w:r>
          </w:p>
        </w:tc>
      </w:tr>
      <w:tr w:rsidR="00BF7319" w14:paraId="003F57D3" w14:textId="77777777">
        <w:trPr>
          <w:trHeight w:val="887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55D59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lastRenderedPageBreak/>
              <w:t xml:space="preserve">8.4.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AD80E" w14:textId="77777777" w:rsidR="00BF7319" w:rsidRDefault="00000000">
            <w:pPr>
              <w:spacing w:after="0" w:line="259" w:lineRule="auto"/>
              <w:ind w:left="0" w:right="59" w:firstLine="0"/>
            </w:pPr>
            <w:r>
              <w:rPr>
                <w:i/>
                <w:u w:val="single" w:color="000000"/>
              </w:rPr>
              <w:t>A 8. szint megvalósítását bizonyító dokumentumok</w:t>
            </w:r>
            <w:r>
              <w:rPr>
                <w:u w:val="single" w:color="000000"/>
              </w:rPr>
              <w:t>:</w:t>
            </w:r>
            <w:r>
              <w:t xml:space="preserve"> dokumentált tesztelési teljesítmény, ami hitelesíti az analitikai előrejelzéseket, valamint alkalmas az üzemgazdasági költséganalízisre. </w:t>
            </w:r>
          </w:p>
        </w:tc>
      </w:tr>
      <w:tr w:rsidR="00BF7319" w14:paraId="5746A4E4" w14:textId="77777777">
        <w:trPr>
          <w:trHeight w:val="298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1918D8C0" w14:textId="77777777" w:rsidR="00BF7319" w:rsidRDefault="00000000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</w:rPr>
              <w:t xml:space="preserve">9.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37A"/>
          </w:tcPr>
          <w:p w14:paraId="693FFFD6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Igazolt rendszer/eljárás, ami alkalmas teljes kereskedelmi bevetésre </w:t>
            </w:r>
          </w:p>
        </w:tc>
      </w:tr>
      <w:tr w:rsidR="00BF7319" w14:paraId="7C554F5A" w14:textId="77777777">
        <w:trPr>
          <w:trHeight w:val="594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09D50" w14:textId="77777777" w:rsidR="00BF7319" w:rsidRDefault="00000000">
            <w:pPr>
              <w:spacing w:after="0" w:line="259" w:lineRule="auto"/>
              <w:ind w:left="387" w:right="0" w:firstLine="0"/>
              <w:jc w:val="center"/>
            </w:pPr>
            <w:r>
              <w:rPr>
                <w:b/>
              </w:rPr>
              <w:t xml:space="preserve">9.1.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FE1C7" w14:textId="77777777" w:rsidR="00BF7319" w:rsidRDefault="00000000">
            <w:pPr>
              <w:spacing w:after="0" w:line="259" w:lineRule="auto"/>
              <w:ind w:left="0" w:right="0" w:firstLine="0"/>
            </w:pPr>
            <w:r>
              <w:t xml:space="preserve">Az elkészült rendszert/eljárást sikeres működéssel történő bizonyítása, rendeltetés szerinti működési környezetben  </w:t>
            </w:r>
          </w:p>
        </w:tc>
      </w:tr>
      <w:tr w:rsidR="00BF7319" w14:paraId="5085FBCA" w14:textId="77777777">
        <w:trPr>
          <w:trHeight w:val="593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23B83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9.2.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1F5F7" w14:textId="77777777" w:rsidR="00BF7319" w:rsidRDefault="00000000">
            <w:pPr>
              <w:spacing w:after="0" w:line="259" w:lineRule="auto"/>
              <w:ind w:left="0" w:right="0" w:firstLine="0"/>
            </w:pPr>
            <w:r>
              <w:t xml:space="preserve">Megvalósult a technológia végleges formája és helytáll a működési paraméterek teljes skálájában. </w:t>
            </w:r>
            <w:r>
              <w:rPr>
                <w:b/>
              </w:rPr>
              <w:t xml:space="preserve"> </w:t>
            </w:r>
          </w:p>
        </w:tc>
      </w:tr>
      <w:tr w:rsidR="00BF7319" w14:paraId="3D8B3D6C" w14:textId="77777777">
        <w:trPr>
          <w:trHeight w:val="302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96659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9.3.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848BC" w14:textId="77777777" w:rsidR="00BF7319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A hangsúly a statisztikai folyamatszabályozásra tevődik át. </w:t>
            </w:r>
            <w:r>
              <w:rPr>
                <w:b/>
              </w:rPr>
              <w:t xml:space="preserve"> </w:t>
            </w:r>
          </w:p>
        </w:tc>
      </w:tr>
      <w:tr w:rsidR="00BF7319" w14:paraId="119963A7" w14:textId="77777777">
        <w:trPr>
          <w:trHeight w:val="1467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02C02" w14:textId="77777777" w:rsidR="00BF7319" w:rsidRDefault="00000000">
            <w:pPr>
              <w:spacing w:after="0" w:line="259" w:lineRule="auto"/>
              <w:ind w:left="389" w:right="0" w:firstLine="0"/>
              <w:jc w:val="center"/>
            </w:pPr>
            <w:r>
              <w:rPr>
                <w:b/>
              </w:rPr>
              <w:t xml:space="preserve">9.4. 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4FF0C" w14:textId="77777777" w:rsidR="00BF7319" w:rsidRDefault="00000000">
            <w:pPr>
              <w:spacing w:after="0" w:line="259" w:lineRule="auto"/>
              <w:ind w:left="0" w:right="59" w:firstLine="0"/>
            </w:pPr>
            <w:r>
              <w:rPr>
                <w:i/>
                <w:u w:val="single" w:color="000000"/>
              </w:rPr>
              <w:t>A 9. szint megvalósítását bizonyító dokumentumok</w:t>
            </w:r>
            <w:r>
              <w:rPr>
                <w:u w:val="single" w:color="000000"/>
              </w:rPr>
              <w:t>:</w:t>
            </w:r>
            <w:r>
              <w:t xml:space="preserve"> a meghatározott cél és feladatok szerinti működés dokumentált eredményei. Az elkészült rendszer/eljárás felhasználók általi rendeltetés szerinti bevezetése, folyamatos működtetése/gyártása az előirányzott költségkeret betartásával, a várt hatásfok és kimeneti cél szerint. </w:t>
            </w:r>
          </w:p>
        </w:tc>
      </w:tr>
    </w:tbl>
    <w:p w14:paraId="4490AD8C" w14:textId="77777777" w:rsidR="00BF7319" w:rsidRDefault="00000000">
      <w:pPr>
        <w:spacing w:after="186" w:line="259" w:lineRule="auto"/>
        <w:ind w:left="0" w:right="0" w:firstLine="0"/>
        <w:jc w:val="left"/>
      </w:pPr>
      <w:r>
        <w:t xml:space="preserve"> </w:t>
      </w:r>
    </w:p>
    <w:p w14:paraId="7D5EB051" w14:textId="77777777" w:rsidR="00BF7319" w:rsidRDefault="00000000">
      <w:pPr>
        <w:spacing w:after="0" w:line="259" w:lineRule="auto"/>
        <w:ind w:left="0" w:right="0" w:firstLine="0"/>
      </w:pPr>
      <w:r>
        <w:t xml:space="preserve"> </w:t>
      </w:r>
      <w:r>
        <w:tab/>
        <w:t xml:space="preserve"> </w:t>
      </w:r>
    </w:p>
    <w:p w14:paraId="349F192C" w14:textId="77777777" w:rsidR="00BF7319" w:rsidRDefault="00000000">
      <w:pPr>
        <w:spacing w:after="169" w:line="264" w:lineRule="auto"/>
        <w:ind w:left="-3" w:right="-13"/>
        <w:jc w:val="center"/>
      </w:pPr>
      <w:r>
        <w:rPr>
          <w:b/>
          <w:sz w:val="28"/>
        </w:rPr>
        <w:t xml:space="preserve">III. A TRL szintek szemléltetése példán keresztül: Tartalékelem fejlesztése a Marylandi Egyetemen </w:t>
      </w:r>
    </w:p>
    <w:p w14:paraId="56958FAA" w14:textId="77777777" w:rsidR="00BF7319" w:rsidRDefault="00000000">
      <w:pPr>
        <w:spacing w:after="66" w:line="259" w:lineRule="auto"/>
        <w:ind w:left="341" w:right="0" w:firstLine="0"/>
        <w:jc w:val="left"/>
      </w:pPr>
      <w:r>
        <w:t xml:space="preserve"> </w:t>
      </w:r>
    </w:p>
    <w:p w14:paraId="42B54F10" w14:textId="77777777" w:rsidR="00BF7319" w:rsidRDefault="00000000">
      <w:pPr>
        <w:ind w:left="-5" w:right="0"/>
      </w:pPr>
      <w:r>
        <w:t xml:space="preserve">Az egymást követő TRL szintek elérésének szemléltetésére konkrét példát szolgáltatunk a pályázóknak. Úgy véljük, a projekt előrehaladásának ismertetése jobban megragadhatóvá teszik a TRL szint minél pontosabb azonosításának pályázati elvárását.  </w:t>
      </w:r>
    </w:p>
    <w:p w14:paraId="40A6FEA4" w14:textId="77777777" w:rsidR="00BF7319" w:rsidRDefault="00000000">
      <w:pPr>
        <w:ind w:left="-5" w:right="0"/>
      </w:pPr>
      <w:r>
        <w:t xml:space="preserve">Az alábbiakban leírt projekt a University of Maryland (College Park, Maryland) spin-off vállalkozásának tartalékelem fejlesztésére vonatkozik. A tartalékelem hosszú távú energiatárolásra alkalmas azáltal, hogy a cella aktív vegyi anyagai elkülönítettek, így önkisülés gyakorlatilag nem megy végbe. Szükség esetén a tartalékelem a másodperc töredéke alatt aktiválható, hogy az elektromos fogyasztókat táplálja. </w:t>
      </w:r>
    </w:p>
    <w:p w14:paraId="6183ADA5" w14:textId="77777777" w:rsidR="00BF7319" w:rsidRDefault="00000000">
      <w:pPr>
        <w:spacing w:after="64" w:line="259" w:lineRule="auto"/>
        <w:ind w:left="341" w:right="0" w:firstLine="0"/>
        <w:jc w:val="left"/>
      </w:pPr>
      <w:r>
        <w:t xml:space="preserve"> </w:t>
      </w:r>
    </w:p>
    <w:p w14:paraId="13A98B81" w14:textId="77777777" w:rsidR="00BF7319" w:rsidRDefault="00000000">
      <w:pPr>
        <w:pStyle w:val="Cmsor2"/>
        <w:ind w:left="-5"/>
      </w:pPr>
      <w:r>
        <w:t xml:space="preserve">TRL 1: Az ötlet, elv megléte, az alapkutatás megkezdése </w:t>
      </w:r>
    </w:p>
    <w:p w14:paraId="6A59914D" w14:textId="77777777" w:rsidR="00BF7319" w:rsidRDefault="00000000">
      <w:pPr>
        <w:ind w:left="-5" w:right="0"/>
      </w:pPr>
      <w:r>
        <w:t xml:space="preserve">A galvánelemek katódjában hagyományosan használt mangándioxid ruténiumdioxiddal (RuO2) lehet helyettesíthető. Noha a RuO2 jóval drágább, a projektgazdák olyan módszert dolgoztak ki, amellyel az aktív anyag igen vékony rétegben felvihető egy olcsó anyagból készült elektromos vezető felületre, ami költséghatékony megoldást biztosíthat. </w:t>
      </w:r>
    </w:p>
    <w:p w14:paraId="09283515" w14:textId="77777777" w:rsidR="00BF7319" w:rsidRDefault="00000000">
      <w:pPr>
        <w:ind w:left="-5" w:right="0"/>
      </w:pPr>
      <w:r>
        <w:lastRenderedPageBreak/>
        <w:t xml:space="preserve">A kezdeti célkitűzés nem jelölte meg az elektrokémiai energiatárolás eszközét, ami egyaránt lehetett galvánelem vagy szuperkondenzátor. Az alapelvet tömény kénsav-alapú elektrolit oldatban figyelték meg, hagyományos elektrokémiai módszerekkel. Az eredményeket előzetes közleményben közzétették: Peckerar, M. et al. (2006). “An Electrochemical Cell with Capacitance-Enhanced Double Layer,” Proceedings of the 210th ECS Meeting, Oct. 29-Nov. 3, 2006, Cancun, Mexico, Volume 3, Issue 36, pp. 77-85. </w:t>
      </w:r>
    </w:p>
    <w:p w14:paraId="66890EA3" w14:textId="77777777" w:rsidR="00BF7319" w:rsidRDefault="00000000">
      <w:pPr>
        <w:pStyle w:val="Cmsor2"/>
        <w:spacing w:after="256"/>
        <w:ind w:left="-5"/>
      </w:pPr>
      <w:r>
        <w:t>TRL 2: Megalapozó kutatás folyamatban van: működési elv dokumentált leírása megtörténik</w:t>
      </w:r>
      <w:r>
        <w:rPr>
          <w:sz w:val="21"/>
          <w:vertAlign w:val="superscript"/>
        </w:rPr>
        <w:footnoteReference w:id="5"/>
      </w:r>
      <w:r>
        <w:t xml:space="preserve"> </w:t>
      </w:r>
    </w:p>
    <w:p w14:paraId="33038345" w14:textId="77777777" w:rsidR="00BF7319" w:rsidRDefault="00000000">
      <w:pPr>
        <w:ind w:left="-5" w:right="0"/>
      </w:pPr>
      <w:r>
        <w:t xml:space="preserve">A működési elvet bizonyító laboratóriumi kísérleteket 1 mL térfogatú UV kvarc küvettákban végezték, RuO2-alapú katóddal és cink fólia anóddal. A rendkívül korrozív kénsav helyett, több semleges kémhatású elektrolit oldatot kipróbáltak, amelyek biztosították a miniatűr galvánelem hosszabb távú folyamatos működését.  </w:t>
      </w:r>
    </w:p>
    <w:p w14:paraId="28CFB1CE" w14:textId="77777777" w:rsidR="00BF7319" w:rsidRDefault="00000000">
      <w:pPr>
        <w:ind w:left="-5" w:right="0"/>
      </w:pPr>
      <w:r>
        <w:t xml:space="preserve">Az eredmények dokumentált leírása lehetővé tette pályázat benyújtását az amerikai haditengerészetnek (U.S. Navy). </w:t>
      </w:r>
    </w:p>
    <w:p w14:paraId="42E4E71B" w14:textId="77777777" w:rsidR="00BF7319" w:rsidRDefault="00000000">
      <w:pPr>
        <w:pStyle w:val="Cmsor2"/>
        <w:ind w:left="-5"/>
      </w:pPr>
      <w:r>
        <w:t xml:space="preserve">TRL 3: A technológia kialakítása </w:t>
      </w:r>
    </w:p>
    <w:p w14:paraId="6282C448" w14:textId="77777777" w:rsidR="00BF7319" w:rsidRDefault="00000000">
      <w:pPr>
        <w:ind w:left="-5" w:right="0"/>
      </w:pPr>
      <w:r>
        <w:t xml:space="preserve">Releváns mérések és analitikai eredmények gyűjtésére a projektgazdák elvégezték az első méretnövelést: 50 mL-es majd 100 mL-es térfogatban dolgoztak, ami a TRL-2 szinthez képest két nagyságrenddel nagyobb. Ebben a szakaszban validálták a rendszer összetevőit, az elektródok anyagát és a felhasználható elektrolit oldatok hozzávetőleges összetételét. Több, az elektrolit oldat áramlását biztosító mikrópumpát is kipróbáltak.  </w:t>
      </w:r>
    </w:p>
    <w:p w14:paraId="4DB0F751" w14:textId="77777777" w:rsidR="00BF7319" w:rsidRDefault="00000000">
      <w:pPr>
        <w:ind w:left="-5" w:right="0"/>
      </w:pPr>
      <w:r>
        <w:t xml:space="preserve">A működési paraméterek kísérleti mérése és azok dokumentált leírása révén megkapták a haditengerészet első szakaszban (Phase I) nyújtott pályázati forrását. </w:t>
      </w:r>
    </w:p>
    <w:p w14:paraId="190CAD41" w14:textId="77777777" w:rsidR="00BF7319" w:rsidRDefault="00000000">
      <w:pPr>
        <w:pStyle w:val="Cmsor2"/>
        <w:ind w:left="-5"/>
      </w:pPr>
      <w:r>
        <w:t xml:space="preserve">TRL 4: Az alfa prototípus laboratóriumi tesztelése </w:t>
      </w:r>
    </w:p>
    <w:p w14:paraId="165F4D64" w14:textId="77777777" w:rsidR="00BF7319" w:rsidRDefault="00000000">
      <w:pPr>
        <w:ind w:left="-5" w:right="0"/>
      </w:pPr>
      <w:r>
        <w:t xml:space="preserve">Az előző érettségi szinthez képest itt fontos szerepet kapott az elektródok tartóelemeinek tervezése, minthogy azok anyaga és geometriája egyaránt befolyásolja a működés hosszútávú hatékonyságát. A különböző alakú prototípusokat CAD tervezéssel, 3D nyomtatással valósították meg. Így akár heti gyakorisággal lehetett új rendszert kipróbálni, annak működési hatékonyságát felmérni, illetve a jelentkező elégtelenségek és hibák kiküszöbölésével nagyon gyors fejlesztést végezni. Ekkor </w:t>
      </w:r>
      <w:r>
        <w:lastRenderedPageBreak/>
        <w:t xml:space="preserve">tisztázódott, hogy a RuO2-alapú elektród nem szuperkondenzátor, hanem galvánelem építésére alkalmas.  </w:t>
      </w:r>
    </w:p>
    <w:p w14:paraId="6128A056" w14:textId="77777777" w:rsidR="00BF7319" w:rsidRDefault="00000000">
      <w:pPr>
        <w:ind w:left="-5" w:right="0"/>
      </w:pPr>
      <w:r>
        <w:t xml:space="preserve">A projektgazdák szabadalmi bejelentést tettek, a dokumentált eredmények pedig meghozták a U.S. Navy további támogatását (Phase II).  </w:t>
      </w:r>
    </w:p>
    <w:p w14:paraId="6E9BE71E" w14:textId="77777777" w:rsidR="00BF7319" w:rsidRDefault="00000000">
      <w:pPr>
        <w:ind w:left="-5" w:right="0"/>
      </w:pPr>
      <w:r>
        <w:t xml:space="preserve">A tudományos eredmények két Q1 lapban közzétett szakközleményt eredményeztek: (1) Peckerar, M. et al. (2011). “Fabrication of Flexible Ultracapacitor/Galvanic Cell Hybrids Using Advanced Nanoparticle Coating Technology,” Vacuum Science Technology B, 29 (1), Article Number 011008; (2) Peckerar, M. et al. (2011). “Supercapacitor/Battery Hybrids for Energy Harvesting Applications,” ECS Transactions, 41 (8), 31-35. </w:t>
      </w:r>
    </w:p>
    <w:p w14:paraId="6DFE6EF8" w14:textId="77777777" w:rsidR="00BF7319" w:rsidRDefault="00000000">
      <w:pPr>
        <w:pStyle w:val="Cmsor2"/>
        <w:ind w:left="-5"/>
      </w:pPr>
      <w:r>
        <w:t xml:space="preserve">TRL 5: Kis skálán működő prototípus és integrált rendszer/eljárás laboratóriumi tesztelése, a skálázási követelmények meghatározása </w:t>
      </w:r>
    </w:p>
    <w:p w14:paraId="54F410B6" w14:textId="77777777" w:rsidR="00BF7319" w:rsidRDefault="00000000">
      <w:pPr>
        <w:ind w:left="-5" w:right="0"/>
      </w:pPr>
      <w:r>
        <w:t xml:space="preserve">További egy nagyságrenddel történt méretnövelést valósítottak meg (100 mL-ről 1000 mL-re, illetve 2000 mL-re), amelyben az összes komponenst a rendszerbe integrálták. Ekkor dőlt el véglegesen, hogy az eredetileg tervezett cink anód nem biztosít kellő cellafeszültséget, vagyis elégtelen hajtóerőt képez a cella működéséhez. Ezért magnéziummal helyettesítették. Mivel a magnézium rúd formájában széleskörben elérhető és olcsó, a cella alakját párhuzamos sík elektród rendszerből henger alakúvá változtatták. A legcélszerűbb felhasználásnak a tengervízzel működtetett tartalékelem látszott. Ennek lehetőségét szintetikus tengervízzel laboratóriumban tesztelték. Az újonnan létrehozott prototípus működtetésével meghatározták a folyamat hatásfokát, továbbá elkészítették a cella energia- és tömegmérlegét. A projektgazdák áttekintették a rendszer lehetséges alkalmazásait.  </w:t>
      </w:r>
    </w:p>
    <w:p w14:paraId="3231F042" w14:textId="77777777" w:rsidR="00BF7319" w:rsidRDefault="00000000">
      <w:pPr>
        <w:ind w:left="-5" w:right="0"/>
      </w:pPr>
      <w:r>
        <w:t xml:space="preserve">A benyújtott eredmények mérlegelése után a U.S. Navy további forrást biztosított a fejlesztéshez (Phase II Option).  </w:t>
      </w:r>
    </w:p>
    <w:p w14:paraId="40DADB29" w14:textId="77777777" w:rsidR="00BF7319" w:rsidRDefault="00000000">
      <w:pPr>
        <w:ind w:left="-5" w:right="0"/>
      </w:pPr>
      <w:r>
        <w:t xml:space="preserve">A tudományos eredmények magas impakt faktorú lapban közölték: Peckerar, M. et al. (2011). “A Novel High Energy Density Flexible Galvanic Cell,” Energy &amp; Environmental Science, 4 (5), 18071812. </w:t>
      </w:r>
    </w:p>
    <w:p w14:paraId="27167CCD" w14:textId="77777777" w:rsidR="00BF7319" w:rsidRDefault="00000000">
      <w:pPr>
        <w:pStyle w:val="Cmsor2"/>
        <w:ind w:left="-5"/>
      </w:pPr>
      <w:r>
        <w:t xml:space="preserve">TRL 6: Nagy skálájú prototípus építése és tesztelése – a mérnökségi fejlesztés kezdete </w:t>
      </w:r>
    </w:p>
    <w:p w14:paraId="24BE9433" w14:textId="77777777" w:rsidR="00BF7319" w:rsidRDefault="00000000">
      <w:pPr>
        <w:ind w:left="-5" w:right="0"/>
      </w:pPr>
      <w:r>
        <w:t xml:space="preserve">Ezen az érettségi szinten a projektgazdák 10 L térfogatú cellát építettek, amelynek bevetésére a Chesapeake öbölben került sor. Mivel ott a tengervíz összesített iontartalma (szalinitása) a rendes tengervíz sótartalmának kb. </w:t>
      </w:r>
      <w:r>
        <w:rPr>
          <w:rFonts w:ascii="Times New Roman" w:eastAsia="Times New Roman" w:hAnsi="Times New Roman" w:cs="Times New Roman"/>
        </w:rPr>
        <w:t>⅓</w:t>
      </w:r>
      <w:r>
        <w:t xml:space="preserve">-a, előzőleg laboratóriumi mérésekre volt szükség, hogy biztosítani fogja-e az öbölvíz a szükséges vezetőképességet. A mérések kedvező eredményt mutattak. A való környezetben történő bevetés a víz alatti elektromos csatlakozások megfelelő biztonságát </w:t>
      </w:r>
      <w:r>
        <w:lastRenderedPageBreak/>
        <w:t xml:space="preserve">követelték meg (vízhatlanoknak kellett lenniük), ami további mérnökségi feladatokat követelt meg. A szakasz eredményeiből az alkalmazásokat adatoló újabb közlemény született: Peckerar, M. et al. (2013). “An energy harvesting system surveyed for a variety of unattended electronic applications,” Solid State Electronics 79, 233-237. </w:t>
      </w:r>
    </w:p>
    <w:p w14:paraId="3E482632" w14:textId="77777777" w:rsidR="00BF7319" w:rsidRDefault="00000000">
      <w:pPr>
        <w:pStyle w:val="Cmsor2"/>
        <w:ind w:left="-5"/>
      </w:pPr>
      <w:r>
        <w:t xml:space="preserve">TRL 7: Integrált prototípus rendszer/eljárás megléte, tesztelése és hitelesítése </w:t>
      </w:r>
    </w:p>
    <w:p w14:paraId="70EE1272" w14:textId="77777777" w:rsidR="00BF7319" w:rsidRDefault="00000000">
      <w:pPr>
        <w:ind w:left="-5" w:right="0"/>
      </w:pPr>
      <w:r>
        <w:t xml:space="preserve">A tesztelést a Chesapeake öbölben végezték, valós működési környezetben, víz alatti áramlás, algák, kagyló és más tengervízi élőlények jelenlétében. A mérések mintegy 8 napig tartottak, az eredményeket automatizáltan, folytonosan regisztrálták. A teszteredmények hitelesítették a tartalékelem rendszer szintű teljesítményét és alátámasztották az analitikai előrejelzéseket. A csapat végig gondolta a lehetséges kereskedelmi alkalmazási területeit, a küldetés-kritikus övezetek stratégiai monitorozásától a háztartási alkalmazásokig.  </w:t>
      </w:r>
    </w:p>
    <w:p w14:paraId="784687C9" w14:textId="77777777" w:rsidR="00BF7319" w:rsidRDefault="00000000">
      <w:pPr>
        <w:pStyle w:val="Cmsor2"/>
        <w:ind w:left="-5"/>
      </w:pPr>
      <w:r>
        <w:t xml:space="preserve">TRL 8: Kereskedelmi környezetbe ágyazott demonstrációs rendszer felállítása és működtetése </w:t>
      </w:r>
    </w:p>
    <w:p w14:paraId="44D42B45" w14:textId="77777777" w:rsidR="00BF7319" w:rsidRDefault="00000000">
      <w:pPr>
        <w:ind w:left="-5" w:right="0"/>
      </w:pPr>
      <w:r>
        <w:t xml:space="preserve">A kereskedelmi bevezetés előtti szakaszban végeztek tesztelést. Kifejlesztettek civil alkalmazásokat, közöttük az úszómedencék szennyezettségét mérő eszközt, okos pelenkát és okos kötszert; az utóbbi két alkalmazáshoz külön erre a célra okostelefon applikáció készült. Lehetséges forgalmazható eszközként megtervezték a cserepes növények földjének követését, a nedvességtartalmának jelzését, a túlöntözés, illetve kiszáradás elkerüléséért. Dokumentált tesztelési teljesítményt valósítottak meg, ami hitelesíti az analitikai előrejelzéseket, valamint alkalmas az üzemgazdasági költséganalízisre. Tárgyalásokat folytattak nemzetközi konszernekkel és kis cégekkel az alkalmazások lehetséges értékesítéséről.  </w:t>
      </w:r>
    </w:p>
    <w:p w14:paraId="1A8CDCA5" w14:textId="77777777" w:rsidR="00BF7319" w:rsidRDefault="00000000">
      <w:pPr>
        <w:pStyle w:val="Cmsor2"/>
        <w:ind w:left="-5"/>
      </w:pPr>
      <w:r>
        <w:t xml:space="preserve">TRL 9: Igazolt rendszer/eljárás, ami alkalmas teljes kereskedelmi bevetésre </w:t>
      </w:r>
    </w:p>
    <w:p w14:paraId="28F972F8" w14:textId="77777777" w:rsidR="00BF7319" w:rsidRDefault="00000000">
      <w:pPr>
        <w:ind w:left="-5" w:right="0"/>
      </w:pPr>
      <w:r>
        <w:t xml:space="preserve">A kereskedelmi forgalomba hozatalhoz szükséges volt a működés statisztikai követése és a rendeltetés szerinti működés dokumentált eredményei. Az elkészült rendszert a felhasználók által meghatározott rendeltetés és paraméterek szerint alakították ki.  </w:t>
      </w:r>
    </w:p>
    <w:p w14:paraId="04BC6372" w14:textId="77777777" w:rsidR="00BF7319" w:rsidRDefault="00000000">
      <w:pPr>
        <w:spacing w:after="224" w:line="259" w:lineRule="auto"/>
        <w:ind w:left="-5" w:right="0"/>
      </w:pPr>
      <w:r>
        <w:t xml:space="preserve">A tartalékelem kezdeti (cink-tengervíz) változata szabadalmi oltalmat kapott:  </w:t>
      </w:r>
    </w:p>
    <w:p w14:paraId="4A3FCD9A" w14:textId="77777777" w:rsidR="00BF7319" w:rsidRDefault="00000000">
      <w:pPr>
        <w:spacing w:after="227" w:line="259" w:lineRule="auto"/>
        <w:ind w:left="-5" w:right="0"/>
      </w:pPr>
      <w:r>
        <w:t xml:space="preserve">“Zinc-Water Battery and System,” Peckerar, M.C. et al., U.S. 9,627,694 (April 18, 2017) </w:t>
      </w:r>
    </w:p>
    <w:p w14:paraId="0CBF67D6" w14:textId="77777777" w:rsidR="00BF7319" w:rsidRDefault="00000000">
      <w:pPr>
        <w:spacing w:after="229" w:line="259" w:lineRule="auto"/>
        <w:ind w:left="-5" w:right="0"/>
      </w:pPr>
      <w:r>
        <w:t xml:space="preserve">A tartalékelem végső (magnézium-tengervíz) változatról írt közlemény: </w:t>
      </w:r>
    </w:p>
    <w:p w14:paraId="25FF3CE2" w14:textId="77777777" w:rsidR="00BF7319" w:rsidRDefault="00000000">
      <w:pPr>
        <w:ind w:left="-5" w:right="0"/>
      </w:pPr>
      <w:r>
        <w:t xml:space="preserve">Lowy, D.A.; Mátyás, B. (2020). “Sea Water Activated Magnesium-Air Reserve Batteries: Calculation of Specific Energy and Energy Density for Various Geometries,” DRC Sustainable Future, 1 (1), 1-6. DOI: 10.37281/DRCSF/1.1.1 </w:t>
      </w:r>
    </w:p>
    <w:p w14:paraId="4BCF7029" w14:textId="77777777" w:rsidR="00BF7319" w:rsidRDefault="00000000">
      <w:pPr>
        <w:spacing w:after="229" w:line="259" w:lineRule="auto"/>
        <w:ind w:left="-5" w:right="0"/>
      </w:pPr>
      <w:r>
        <w:lastRenderedPageBreak/>
        <w:t xml:space="preserve">A projekt módszertanáról írt közlemények:  </w:t>
      </w:r>
    </w:p>
    <w:p w14:paraId="700EA85D" w14:textId="77777777" w:rsidR="00BF7319" w:rsidRDefault="00000000">
      <w:pPr>
        <w:ind w:left="-5" w:right="0"/>
      </w:pPr>
      <w:r>
        <w:t xml:space="preserve">Lowy, D.A. (2021). “Innoversity Applied to a Student Team,” Academia Letters, Article 303. (https://doi.org/10.20935/AL303) </w:t>
      </w:r>
    </w:p>
    <w:p w14:paraId="7D5DDEF5" w14:textId="77777777" w:rsidR="00BF7319" w:rsidRDefault="00000000">
      <w:pPr>
        <w:spacing w:after="64" w:line="259" w:lineRule="auto"/>
        <w:ind w:left="-5" w:right="0"/>
      </w:pPr>
      <w:r>
        <w:t xml:space="preserve">Lowy, D.A (2021). “Innoversity: a means to success in international collaborations,” DRC </w:t>
      </w:r>
    </w:p>
    <w:p w14:paraId="153F61DB" w14:textId="77777777" w:rsidR="00BF7319" w:rsidRDefault="00000000">
      <w:pPr>
        <w:spacing w:after="185" w:line="259" w:lineRule="auto"/>
        <w:ind w:left="-5" w:right="0"/>
      </w:pPr>
      <w:r>
        <w:t xml:space="preserve">Sustainable Future, 2 (1), 83-90. DOI: 10.37281/DRCSF/2.1.10   </w:t>
      </w:r>
    </w:p>
    <w:p w14:paraId="3B99C3FC" w14:textId="77777777" w:rsidR="00BF7319" w:rsidRDefault="00000000">
      <w:pPr>
        <w:spacing w:after="0" w:line="259" w:lineRule="auto"/>
        <w:ind w:left="0" w:right="0" w:firstLine="0"/>
        <w:jc w:val="left"/>
      </w:pPr>
      <w:r>
        <w:t xml:space="preserve"> </w:t>
      </w:r>
      <w:r>
        <w:tab/>
        <w:t xml:space="preserve"> </w:t>
      </w:r>
    </w:p>
    <w:p w14:paraId="15006195" w14:textId="77777777" w:rsidR="00BF7319" w:rsidRDefault="00000000">
      <w:pPr>
        <w:spacing w:after="163" w:line="269" w:lineRule="auto"/>
        <w:ind w:left="3601" w:right="0" w:hanging="3301"/>
        <w:jc w:val="left"/>
      </w:pPr>
      <w:r>
        <w:rPr>
          <w:b/>
          <w:sz w:val="28"/>
        </w:rPr>
        <w:t xml:space="preserve">IV. A TRL szintek alkalmazhatósága a szellemi tulajdon oltalmazásával összefüggésben </w:t>
      </w:r>
    </w:p>
    <w:p w14:paraId="4AAC4C19" w14:textId="77777777" w:rsidR="00BF7319" w:rsidRDefault="00000000">
      <w:pPr>
        <w:spacing w:after="66" w:line="259" w:lineRule="auto"/>
        <w:ind w:left="341" w:right="0" w:firstLine="0"/>
        <w:jc w:val="left"/>
      </w:pPr>
      <w:r>
        <w:t xml:space="preserve"> </w:t>
      </w:r>
    </w:p>
    <w:p w14:paraId="4EF0330C" w14:textId="77777777" w:rsidR="00BF7319" w:rsidRDefault="00000000">
      <w:pPr>
        <w:spacing w:after="120"/>
        <w:ind w:left="-5" w:right="0"/>
      </w:pPr>
      <w:r>
        <w:t xml:space="preserve">A szellemi tulajdon oltalmazását érdemes minél korábban elindítani. Ahhoz, hogy a találmány oltalmazható legyen, a szabadalmi bejelentést a találmány nyilvánosságra </w:t>
      </w:r>
      <w:r>
        <w:rPr>
          <w:i/>
        </w:rPr>
        <w:t>hozatala előtt kell megtenni</w:t>
      </w:r>
      <w:r>
        <w:t>.</w:t>
      </w:r>
      <w:r>
        <w:rPr>
          <w:rFonts w:ascii="Segoe UI Symbol" w:eastAsia="Segoe UI Symbol" w:hAnsi="Segoe UI Symbol" w:cs="Segoe UI Symbol"/>
          <w:vertAlign w:val="superscript"/>
        </w:rPr>
        <w:footnoteReference w:id="6"/>
      </w:r>
      <w:r>
        <w:t xml:space="preserve">  </w:t>
      </w:r>
    </w:p>
    <w:p w14:paraId="6FE336A3" w14:textId="77777777" w:rsidR="00BF7319" w:rsidRDefault="00000000">
      <w:pPr>
        <w:ind w:left="-5" w:right="0"/>
      </w:pPr>
      <w:r>
        <w:t xml:space="preserve">A szabadalmi bejelentés szükséges feltétele, hogy a javasolt megoldás bizonyítható módon eredeti, világviszonylatban újdonság tartalmú legyen, amit a megfelelő alapossággal végzett dokumentáció és a rendelkezésre álló adatbázisok körültekintő áttekintése bizonyíthat. További két feltétel a feltalálói tevékenység és az úgynevezett ipari alkalmazhatóság feltétele.  </w:t>
      </w:r>
    </w:p>
    <w:p w14:paraId="7AB3FEE7" w14:textId="77777777" w:rsidR="00BF7319" w:rsidRDefault="00000000">
      <w:pPr>
        <w:ind w:left="-5" w:right="0"/>
      </w:pPr>
      <w:r>
        <w:t xml:space="preserve">Részletes magyarázattal és eligazítással szolgál a Szellemi Tulajdon Nemzeti Hivatalának honlapján </w:t>
      </w:r>
      <w:hyperlink r:id="rId30">
        <w:r>
          <w:t>(</w:t>
        </w:r>
      </w:hyperlink>
      <w:hyperlink r:id="rId31">
        <w:r>
          <w:rPr>
            <w:color w:val="0563C1"/>
            <w:u w:val="single" w:color="0563C1"/>
          </w:rPr>
          <w:t>www.hipo.gov.hu</w:t>
        </w:r>
      </w:hyperlink>
      <w:hyperlink r:id="rId32">
        <w:r>
          <w:t>)</w:t>
        </w:r>
      </w:hyperlink>
      <w:r>
        <w:t xml:space="preserve"> olvasható és onnan letölthető Bevezetés az iparjogvédelembe című online könyv, amely bőséges példatárral is szolgál (iparjogkonyv_web_0914.pdf). </w:t>
      </w:r>
    </w:p>
    <w:p w14:paraId="6646CF23" w14:textId="77777777" w:rsidR="00BF7319" w:rsidRDefault="00000000">
      <w:pPr>
        <w:ind w:left="-5" w:right="0"/>
      </w:pPr>
      <w:r>
        <w:t xml:space="preserve">A TRL 3-4 szint megvalósításakor vagy azt követően mindenképpen indokolt a szabadalmi bejelentés megtételének mérlegelése, illetve az oltalmazni kívánt műszaki megoldás érdemi definíciója birtokában a mielőbbi ilyen oltalom kezdeményezése. Mindenképpen javasolt megfelelő újdonságkutatás és a versenytársi fejlesztések felmérése (piacfelmérés/piacvalidálás). </w:t>
      </w:r>
    </w:p>
    <w:p w14:paraId="45856F38" w14:textId="77777777" w:rsidR="00BF7319" w:rsidRDefault="00000000">
      <w:pPr>
        <w:ind w:left="-5" w:right="0"/>
      </w:pPr>
      <w:r>
        <w:t xml:space="preserve">A TRL 7-9 szakaszok folyamán piacfelmérés/piacvalidálás kezdeti következtetéseinek birtokában felelős döntés hozható a védjegy- és a designoltalmak célszerű tartalmáról, illetve nemzeti és/vagy nemzetközi hatósági bejelentéséről. </w:t>
      </w:r>
    </w:p>
    <w:p w14:paraId="2B089AB3" w14:textId="77777777" w:rsidR="00BF7319" w:rsidRDefault="00000000">
      <w:pPr>
        <w:spacing w:after="224" w:line="259" w:lineRule="auto"/>
        <w:ind w:left="0" w:right="0" w:firstLine="0"/>
        <w:jc w:val="left"/>
      </w:pPr>
      <w:r>
        <w:t xml:space="preserve"> </w:t>
      </w:r>
    </w:p>
    <w:p w14:paraId="04239953" w14:textId="77777777" w:rsidR="00BF7319" w:rsidRDefault="00000000">
      <w:pPr>
        <w:spacing w:after="227" w:line="259" w:lineRule="auto"/>
        <w:ind w:left="-5" w:right="0"/>
      </w:pPr>
      <w:r>
        <w:t xml:space="preserve">Közzétéve: 2023. szeptember 21. </w:t>
      </w:r>
    </w:p>
    <w:p w14:paraId="64BDC5E3" w14:textId="77777777" w:rsidR="00BF7319" w:rsidRDefault="00000000">
      <w:pPr>
        <w:ind w:left="-5" w:right="0"/>
      </w:pPr>
      <w:r>
        <w:t xml:space="preserve">Módosítva: 2023. november 20. A módosítás dőlt kiemeléssel. </w:t>
      </w:r>
    </w:p>
    <w:sectPr w:rsidR="00BF7319">
      <w:headerReference w:type="even" r:id="rId33"/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pgSz w:w="11906" w:h="16838"/>
      <w:pgMar w:top="1966" w:right="1413" w:bottom="565" w:left="1416" w:header="708" w:footer="565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C18198" w14:textId="77777777" w:rsidR="00D120C4" w:rsidRDefault="00D120C4">
      <w:pPr>
        <w:spacing w:after="0" w:line="240" w:lineRule="auto"/>
      </w:pPr>
      <w:r>
        <w:separator/>
      </w:r>
    </w:p>
  </w:endnote>
  <w:endnote w:type="continuationSeparator" w:id="0">
    <w:p w14:paraId="20211007" w14:textId="77777777" w:rsidR="00D120C4" w:rsidRDefault="00D1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BFB9C1" w14:textId="77777777" w:rsidR="00BF7319" w:rsidRDefault="00000000">
    <w:pPr>
      <w:spacing w:after="103" w:line="259" w:lineRule="auto"/>
      <w:ind w:left="3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1B8D5252" wp14:editId="179BE756">
              <wp:simplePos x="0" y="0"/>
              <wp:positionH relativeFrom="page">
                <wp:posOffset>884555</wp:posOffset>
              </wp:positionH>
              <wp:positionV relativeFrom="page">
                <wp:posOffset>9919335</wp:posOffset>
              </wp:positionV>
              <wp:extent cx="5759451" cy="6985"/>
              <wp:effectExtent l="0" t="0" r="0" b="0"/>
              <wp:wrapSquare wrapText="bothSides"/>
              <wp:docPr id="14553" name="Group 145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59451" cy="6985"/>
                        <a:chOff x="0" y="0"/>
                        <a:chExt cx="5759451" cy="6985"/>
                      </a:xfrm>
                    </wpg:grpSpPr>
                    <wps:wsp>
                      <wps:cNvPr id="14554" name="Shape 14554"/>
                      <wps:cNvSpPr/>
                      <wps:spPr>
                        <a:xfrm>
                          <a:off x="0" y="0"/>
                          <a:ext cx="5759451" cy="69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59451" h="6985">
                              <a:moveTo>
                                <a:pt x="0" y="6985"/>
                              </a:moveTo>
                              <a:lnTo>
                                <a:pt x="5759451" y="0"/>
                              </a:lnTo>
                            </a:path>
                          </a:pathLst>
                        </a:custGeom>
                        <a:ln w="6350" cap="flat">
                          <a:miter lim="127000"/>
                        </a:ln>
                      </wps:spPr>
                      <wps:style>
                        <a:lnRef idx="1">
                          <a:srgbClr val="B6D37B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553" style="width:453.5pt;height:0.549988pt;position:absolute;mso-position-horizontal-relative:page;mso-position-horizontal:absolute;margin-left:69.65pt;mso-position-vertical-relative:page;margin-top:781.05pt;" coordsize="57594,69">
              <v:shape id="Shape 14554" style="position:absolute;width:57594;height:69;left:0;top:0;" coordsize="5759451,6985" path="m0,6985l5759451,0">
                <v:stroke weight="0.5pt" endcap="flat" joinstyle="miter" miterlimit="10" on="true" color="#b6d37b"/>
                <v:fill on="false" color="#000000" opacity="0"/>
              </v:shape>
              <w10:wrap type="square"/>
            </v:group>
          </w:pict>
        </mc:Fallback>
      </mc:AlternateContent>
    </w:r>
    <w:r>
      <w:rPr>
        <w:sz w:val="16"/>
      </w:rPr>
      <w:t xml:space="preserve"> </w:t>
    </w:r>
  </w:p>
  <w:p w14:paraId="3E45E8F8" w14:textId="77777777" w:rsidR="00BF7319" w:rsidRDefault="00000000">
    <w:pPr>
      <w:spacing w:after="0" w:line="259" w:lineRule="auto"/>
      <w:ind w:left="378" w:right="0" w:firstLine="0"/>
      <w:jc w:val="center"/>
    </w:pPr>
    <w:r>
      <w:rPr>
        <w:sz w:val="16"/>
      </w:rPr>
      <w:t xml:space="preserve"> </w:t>
    </w:r>
  </w:p>
  <w:p w14:paraId="1B07535A" w14:textId="77777777" w:rsidR="00BF7319" w:rsidRDefault="00000000">
    <w:pPr>
      <w:spacing w:after="0" w:line="259" w:lineRule="auto"/>
      <w:ind w:left="338" w:right="0" w:firstLine="0"/>
      <w:jc w:val="center"/>
    </w:pPr>
    <w:r>
      <w:rPr>
        <w:sz w:val="16"/>
      </w:rPr>
      <w:t xml:space="preserve">1077 Budapest, Kéthly Anna tér 1. </w:t>
    </w:r>
    <w:r>
      <w:rPr>
        <w:b/>
        <w:color w:val="70AD47"/>
        <w:sz w:val="16"/>
      </w:rPr>
      <w:t>/</w:t>
    </w:r>
    <w:r>
      <w:rPr>
        <w:sz w:val="16"/>
      </w:rPr>
      <w:t xml:space="preserve"> Postacím: 1438 Budapest, Pf. 438. </w:t>
    </w:r>
  </w:p>
  <w:p w14:paraId="031574B2" w14:textId="77777777" w:rsidR="00BF7319" w:rsidRDefault="00000000">
    <w:pPr>
      <w:spacing w:after="0" w:line="216" w:lineRule="auto"/>
      <w:ind w:left="4136" w:right="3758" w:firstLine="0"/>
      <w:jc w:val="center"/>
    </w:pPr>
    <w:r>
      <w:rPr>
        <w:sz w:val="16"/>
      </w:rPr>
      <w:t xml:space="preserve"> www.nkfih.gov.hu</w:t>
    </w:r>
    <w:r>
      <w:t xml:space="preserve"> </w:t>
    </w:r>
  </w:p>
  <w:p w14:paraId="692A91B3" w14:textId="77777777" w:rsidR="00BF7319" w:rsidRDefault="00000000">
    <w:pPr>
      <w:spacing w:after="0" w:line="259" w:lineRule="auto"/>
      <w:ind w:left="378" w:right="0" w:firstLine="0"/>
      <w:jc w:val="center"/>
    </w:pPr>
    <w:r>
      <w:rPr>
        <w:sz w:val="16"/>
      </w:rPr>
      <w:t xml:space="preserve"> </w:t>
    </w:r>
  </w:p>
  <w:p w14:paraId="21247359" w14:textId="77777777" w:rsidR="00BF7319" w:rsidRDefault="00000000">
    <w:pPr>
      <w:spacing w:after="0" w:line="259" w:lineRule="auto"/>
      <w:ind w:left="340" w:right="0" w:firstLine="0"/>
      <w:jc w:val="center"/>
    </w:pPr>
    <w:r>
      <w:rPr>
        <w:b/>
        <w:sz w:val="16"/>
      </w:rPr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16"/>
      </w:rPr>
      <w:t>2</w:t>
    </w:r>
    <w:r>
      <w:rPr>
        <w:b/>
        <w:sz w:val="16"/>
      </w:rPr>
      <w:fldChar w:fldCharType="end"/>
    </w:r>
    <w:r>
      <w:rPr>
        <w:b/>
        <w:sz w:val="16"/>
      </w:rPr>
      <w:t xml:space="preserve"> ( </w:t>
    </w:r>
    <w:fldSimple w:instr=" NUMPAGES   \* MERGEFORMAT ">
      <w:r>
        <w:rPr>
          <w:b/>
          <w:sz w:val="16"/>
        </w:rPr>
        <w:t>10</w:t>
      </w:r>
    </w:fldSimple>
    <w:r>
      <w:rPr>
        <w:b/>
        <w:sz w:val="16"/>
      </w:rPr>
      <w:t xml:space="preserve">)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511D4E" w14:textId="77777777" w:rsidR="00BF7319" w:rsidRDefault="00000000">
    <w:pPr>
      <w:spacing w:after="103" w:line="259" w:lineRule="auto"/>
      <w:ind w:left="3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3069606" wp14:editId="3EB63E78">
              <wp:simplePos x="0" y="0"/>
              <wp:positionH relativeFrom="page">
                <wp:posOffset>884555</wp:posOffset>
              </wp:positionH>
              <wp:positionV relativeFrom="page">
                <wp:posOffset>9919335</wp:posOffset>
              </wp:positionV>
              <wp:extent cx="5759451" cy="6985"/>
              <wp:effectExtent l="0" t="0" r="0" b="0"/>
              <wp:wrapSquare wrapText="bothSides"/>
              <wp:docPr id="14506" name="Group 1450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59451" cy="6985"/>
                        <a:chOff x="0" y="0"/>
                        <a:chExt cx="5759451" cy="6985"/>
                      </a:xfrm>
                    </wpg:grpSpPr>
                    <wps:wsp>
                      <wps:cNvPr id="14507" name="Shape 14507"/>
                      <wps:cNvSpPr/>
                      <wps:spPr>
                        <a:xfrm>
                          <a:off x="0" y="0"/>
                          <a:ext cx="5759451" cy="69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59451" h="6985">
                              <a:moveTo>
                                <a:pt x="0" y="6985"/>
                              </a:moveTo>
                              <a:lnTo>
                                <a:pt x="5759451" y="0"/>
                              </a:lnTo>
                            </a:path>
                          </a:pathLst>
                        </a:custGeom>
                        <a:ln w="6350" cap="flat">
                          <a:miter lim="127000"/>
                        </a:ln>
                      </wps:spPr>
                      <wps:style>
                        <a:lnRef idx="1">
                          <a:srgbClr val="B6D37B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506" style="width:453.5pt;height:0.549988pt;position:absolute;mso-position-horizontal-relative:page;mso-position-horizontal:absolute;margin-left:69.65pt;mso-position-vertical-relative:page;margin-top:781.05pt;" coordsize="57594,69">
              <v:shape id="Shape 14507" style="position:absolute;width:57594;height:69;left:0;top:0;" coordsize="5759451,6985" path="m0,6985l5759451,0">
                <v:stroke weight="0.5pt" endcap="flat" joinstyle="miter" miterlimit="10" on="true" color="#b6d37b"/>
                <v:fill on="false" color="#000000" opacity="0"/>
              </v:shape>
              <w10:wrap type="square"/>
            </v:group>
          </w:pict>
        </mc:Fallback>
      </mc:AlternateContent>
    </w:r>
    <w:r>
      <w:rPr>
        <w:sz w:val="16"/>
      </w:rPr>
      <w:t xml:space="preserve"> </w:t>
    </w:r>
  </w:p>
  <w:p w14:paraId="7BDDEE4F" w14:textId="77777777" w:rsidR="00BF7319" w:rsidRDefault="00000000">
    <w:pPr>
      <w:spacing w:after="0" w:line="259" w:lineRule="auto"/>
      <w:ind w:left="378" w:right="0" w:firstLine="0"/>
      <w:jc w:val="center"/>
    </w:pPr>
    <w:r>
      <w:rPr>
        <w:sz w:val="16"/>
      </w:rPr>
      <w:t xml:space="preserve"> </w:t>
    </w:r>
  </w:p>
  <w:p w14:paraId="0C0C36A7" w14:textId="77777777" w:rsidR="00BF7319" w:rsidRDefault="00000000">
    <w:pPr>
      <w:spacing w:after="0" w:line="259" w:lineRule="auto"/>
      <w:ind w:left="338" w:right="0" w:firstLine="0"/>
      <w:jc w:val="center"/>
    </w:pPr>
    <w:r>
      <w:rPr>
        <w:sz w:val="16"/>
      </w:rPr>
      <w:t xml:space="preserve">1077 Budapest, Kéthly Anna tér 1. </w:t>
    </w:r>
    <w:r>
      <w:rPr>
        <w:b/>
        <w:color w:val="70AD47"/>
        <w:sz w:val="16"/>
      </w:rPr>
      <w:t>/</w:t>
    </w:r>
    <w:r>
      <w:rPr>
        <w:sz w:val="16"/>
      </w:rPr>
      <w:t xml:space="preserve"> Postacím: 1438 Budapest, Pf. 438. </w:t>
    </w:r>
  </w:p>
  <w:p w14:paraId="4B995226" w14:textId="77777777" w:rsidR="00BF7319" w:rsidRDefault="00000000">
    <w:pPr>
      <w:spacing w:after="0" w:line="216" w:lineRule="auto"/>
      <w:ind w:left="4136" w:right="3758" w:firstLine="0"/>
      <w:jc w:val="center"/>
    </w:pPr>
    <w:r>
      <w:rPr>
        <w:sz w:val="16"/>
      </w:rPr>
      <w:t xml:space="preserve"> www.nkfih.gov.hu</w:t>
    </w:r>
    <w:r>
      <w:t xml:space="preserve"> </w:t>
    </w:r>
  </w:p>
  <w:p w14:paraId="53F15F75" w14:textId="77777777" w:rsidR="00BF7319" w:rsidRDefault="00000000">
    <w:pPr>
      <w:spacing w:after="0" w:line="259" w:lineRule="auto"/>
      <w:ind w:left="378" w:right="0" w:firstLine="0"/>
      <w:jc w:val="center"/>
    </w:pPr>
    <w:r>
      <w:rPr>
        <w:sz w:val="16"/>
      </w:rPr>
      <w:t xml:space="preserve"> </w:t>
    </w:r>
  </w:p>
  <w:p w14:paraId="6DE7FBAB" w14:textId="77777777" w:rsidR="00BF7319" w:rsidRDefault="00000000">
    <w:pPr>
      <w:spacing w:after="0" w:line="259" w:lineRule="auto"/>
      <w:ind w:left="340" w:right="0" w:firstLine="0"/>
      <w:jc w:val="center"/>
    </w:pPr>
    <w:r>
      <w:rPr>
        <w:b/>
        <w:sz w:val="16"/>
      </w:rPr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16"/>
      </w:rPr>
      <w:t>2</w:t>
    </w:r>
    <w:r>
      <w:rPr>
        <w:b/>
        <w:sz w:val="16"/>
      </w:rPr>
      <w:fldChar w:fldCharType="end"/>
    </w:r>
    <w:r>
      <w:rPr>
        <w:b/>
        <w:sz w:val="16"/>
      </w:rPr>
      <w:t xml:space="preserve"> ( </w:t>
    </w:r>
    <w:fldSimple w:instr=" NUMPAGES   \* MERGEFORMAT ">
      <w:r>
        <w:rPr>
          <w:b/>
          <w:sz w:val="16"/>
        </w:rPr>
        <w:t>10</w:t>
      </w:r>
    </w:fldSimple>
    <w:r>
      <w:rPr>
        <w:b/>
        <w:sz w:val="16"/>
      </w:rPr>
      <w:t xml:space="preserve">)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2A875F" w14:textId="77777777" w:rsidR="00BF7319" w:rsidRDefault="00000000">
    <w:pPr>
      <w:spacing w:after="0" w:line="259" w:lineRule="auto"/>
      <w:ind w:left="376" w:right="0" w:firstLine="0"/>
      <w:jc w:val="center"/>
    </w:pPr>
    <w:r>
      <w:rPr>
        <w:sz w:val="16"/>
      </w:rPr>
      <w:t>www.nkfih.gov.hu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AF0BE5" w14:textId="77777777" w:rsidR="00D120C4" w:rsidRDefault="00D120C4">
      <w:pPr>
        <w:spacing w:after="0" w:line="241" w:lineRule="auto"/>
        <w:ind w:left="142" w:right="0" w:hanging="142"/>
        <w:jc w:val="left"/>
      </w:pPr>
      <w:r>
        <w:separator/>
      </w:r>
    </w:p>
  </w:footnote>
  <w:footnote w:type="continuationSeparator" w:id="0">
    <w:p w14:paraId="5874CE56" w14:textId="77777777" w:rsidR="00D120C4" w:rsidRDefault="00D120C4">
      <w:pPr>
        <w:spacing w:after="0" w:line="241" w:lineRule="auto"/>
        <w:ind w:left="142" w:right="0" w:hanging="142"/>
        <w:jc w:val="left"/>
      </w:pPr>
      <w:r>
        <w:continuationSeparator/>
      </w:r>
    </w:p>
  </w:footnote>
  <w:footnote w:id="1">
    <w:p w14:paraId="708756B6" w14:textId="77777777" w:rsidR="00BF7319" w:rsidRDefault="00000000">
      <w:pPr>
        <w:pStyle w:val="footnotedescription"/>
        <w:spacing w:line="241" w:lineRule="auto"/>
      </w:pPr>
      <w:r>
        <w:rPr>
          <w:rStyle w:val="footnotemark"/>
        </w:rPr>
        <w:footnoteRef/>
      </w:r>
      <w:r>
        <w:t xml:space="preserve"> RedNight Grants and Funding Specialists (2021). “How does the Technology Readiness Level (TRL) framework apply to grant funding?” (Hogyan vonatkozik a technológiai felkészültségi szint (TRL) keretrendszer a támogatási finanszírozásra?) Elérhető: </w:t>
      </w:r>
      <w:hyperlink r:id="rId1">
        <w:r>
          <w:rPr>
            <w:color w:val="0563C1"/>
            <w:u w:val="single" w:color="0563C1"/>
          </w:rPr>
          <w:t>https://redknightconsultancy.co.uk/2021/07/21/grant</w:t>
        </w:r>
      </w:hyperlink>
      <w:hyperlink r:id="rId2">
        <w:r>
          <w:rPr>
            <w:color w:val="0563C1"/>
            <w:u w:val="single" w:color="0563C1"/>
          </w:rPr>
          <w:t>-</w:t>
        </w:r>
      </w:hyperlink>
      <w:hyperlink r:id="rId3">
        <w:r>
          <w:rPr>
            <w:color w:val="0563C1"/>
            <w:u w:val="single" w:color="0563C1"/>
          </w:rPr>
          <w:t>funding</w:t>
        </w:r>
      </w:hyperlink>
      <w:hyperlink r:id="rId4">
        <w:r>
          <w:rPr>
            <w:color w:val="0563C1"/>
            <w:u w:val="single" w:color="0563C1"/>
          </w:rPr>
          <w:t>-</w:t>
        </w:r>
      </w:hyperlink>
      <w:hyperlink r:id="rId5">
        <w:r>
          <w:rPr>
            <w:color w:val="0563C1"/>
            <w:u w:val="single" w:color="0563C1"/>
          </w:rPr>
          <w:t>and</w:t>
        </w:r>
      </w:hyperlink>
      <w:hyperlink r:id="rId6">
        <w:r>
          <w:rPr>
            <w:color w:val="0563C1"/>
            <w:u w:val="single" w:color="0563C1"/>
          </w:rPr>
          <w:t>-</w:t>
        </w:r>
      </w:hyperlink>
      <w:hyperlink r:id="rId7">
        <w:r>
          <w:rPr>
            <w:color w:val="0563C1"/>
            <w:u w:val="single" w:color="0563C1"/>
          </w:rPr>
          <w:t>the</w:t>
        </w:r>
      </w:hyperlink>
      <w:hyperlink r:id="rId8">
        <w:r>
          <w:rPr>
            <w:color w:val="0563C1"/>
            <w:u w:val="single" w:color="0563C1"/>
          </w:rPr>
          <w:t>-</w:t>
        </w:r>
      </w:hyperlink>
      <w:hyperlink r:id="rId9">
        <w:r>
          <w:rPr>
            <w:color w:val="0563C1"/>
            <w:u w:val="single" w:color="0563C1"/>
          </w:rPr>
          <w:t>trl</w:t>
        </w:r>
      </w:hyperlink>
      <w:hyperlink r:id="rId10"/>
      <w:hyperlink r:id="rId11">
        <w:r>
          <w:rPr>
            <w:color w:val="0563C1"/>
            <w:u w:val="single" w:color="0563C1"/>
          </w:rPr>
          <w:t>framework/</w:t>
        </w:r>
      </w:hyperlink>
      <w:hyperlink r:id="rId12">
        <w:r>
          <w:t xml:space="preserve"> </w:t>
        </w:r>
      </w:hyperlink>
      <w:r>
        <w:t xml:space="preserve">(Utolsó megtekintés: 2023. július 4.) </w:t>
      </w:r>
    </w:p>
  </w:footnote>
  <w:footnote w:id="2">
    <w:p w14:paraId="13166B26" w14:textId="77777777" w:rsidR="00BF7319" w:rsidRDefault="00000000">
      <w:pPr>
        <w:pStyle w:val="footnotedescription"/>
        <w:spacing w:line="245" w:lineRule="auto"/>
      </w:pPr>
      <w:r>
        <w:rPr>
          <w:rStyle w:val="footnotemark"/>
        </w:rPr>
        <w:footnoteRef/>
      </w:r>
      <w:r>
        <w:t xml:space="preserve"> EIC Transition. Mature a novel technology and develop a business case to bring it to market. (EIC átállás Fejlesszen ki egy új technológiát, és dolgozzon ki egy biznisz case-t, hogy a piacra vigye). </w:t>
      </w:r>
      <w:hyperlink r:id="rId13">
        <w:r>
          <w:rPr>
            <w:color w:val="0563C1"/>
            <w:u w:val="single" w:color="0563C1"/>
          </w:rPr>
          <w:t>https://eic.ec.europa.eu/eic</w:t>
        </w:r>
      </w:hyperlink>
      <w:hyperlink r:id="rId14">
        <w:r>
          <w:rPr>
            <w:color w:val="0563C1"/>
            <w:u w:val="single" w:color="0563C1"/>
          </w:rPr>
          <w:t>-</w:t>
        </w:r>
      </w:hyperlink>
      <w:hyperlink r:id="rId15">
        <w:r>
          <w:rPr>
            <w:color w:val="0563C1"/>
            <w:u w:val="single" w:color="0563C1"/>
          </w:rPr>
          <w:t>funding</w:t>
        </w:r>
      </w:hyperlink>
      <w:hyperlink r:id="rId16">
        <w:r>
          <w:rPr>
            <w:color w:val="0563C1"/>
            <w:u w:val="single" w:color="0563C1"/>
          </w:rPr>
          <w:t>-</w:t>
        </w:r>
      </w:hyperlink>
      <w:hyperlink r:id="rId17">
        <w:r>
          <w:rPr>
            <w:color w:val="0563C1"/>
            <w:u w:val="single" w:color="0563C1"/>
          </w:rPr>
          <w:t>opportunities/eic</w:t>
        </w:r>
      </w:hyperlink>
      <w:hyperlink r:id="rId18">
        <w:r>
          <w:rPr>
            <w:color w:val="0563C1"/>
            <w:u w:val="single" w:color="0563C1"/>
          </w:rPr>
          <w:t>-</w:t>
        </w:r>
      </w:hyperlink>
      <w:hyperlink r:id="rId19">
        <w:r>
          <w:rPr>
            <w:color w:val="0563C1"/>
            <w:u w:val="single" w:color="0563C1"/>
          </w:rPr>
          <w:t>transition_en</w:t>
        </w:r>
      </w:hyperlink>
      <w:hyperlink r:id="rId20">
        <w:r>
          <w:t xml:space="preserve"> </w:t>
        </w:r>
      </w:hyperlink>
      <w:r>
        <w:t xml:space="preserve">(Utolsó megtekintés: 2023. július 4.) </w:t>
      </w:r>
    </w:p>
  </w:footnote>
  <w:footnote w:id="3">
    <w:p w14:paraId="5E193AFD" w14:textId="77777777" w:rsidR="00BF7319" w:rsidRDefault="00000000">
      <w:pPr>
        <w:pStyle w:val="footnotedescription"/>
        <w:spacing w:line="243" w:lineRule="auto"/>
      </w:pPr>
      <w:r>
        <w:rPr>
          <w:rStyle w:val="footnotemark"/>
        </w:rPr>
        <w:footnoteRef/>
      </w:r>
      <w:r>
        <w:t xml:space="preserve"> EIC Accelerator. Elérhető:</w:t>
      </w:r>
      <w:hyperlink r:id="rId21">
        <w:r>
          <w:t xml:space="preserve"> </w:t>
        </w:r>
      </w:hyperlink>
      <w:hyperlink r:id="rId22">
        <w:r>
          <w:rPr>
            <w:color w:val="0563C1"/>
            <w:u w:val="single" w:color="0563C1"/>
          </w:rPr>
          <w:t>https://eic.ec.europa.eu/eic</w:t>
        </w:r>
      </w:hyperlink>
      <w:hyperlink r:id="rId23">
        <w:r>
          <w:rPr>
            <w:color w:val="0563C1"/>
            <w:u w:val="single" w:color="0563C1"/>
          </w:rPr>
          <w:t>-</w:t>
        </w:r>
      </w:hyperlink>
      <w:hyperlink r:id="rId24">
        <w:r>
          <w:rPr>
            <w:color w:val="0563C1"/>
            <w:u w:val="single" w:color="0563C1"/>
          </w:rPr>
          <w:t>funding</w:t>
        </w:r>
      </w:hyperlink>
      <w:hyperlink r:id="rId25">
        <w:r>
          <w:rPr>
            <w:color w:val="0563C1"/>
            <w:u w:val="single" w:color="0563C1"/>
          </w:rPr>
          <w:t>-</w:t>
        </w:r>
      </w:hyperlink>
      <w:hyperlink r:id="rId26">
        <w:r>
          <w:rPr>
            <w:color w:val="0563C1"/>
            <w:u w:val="single" w:color="0563C1"/>
          </w:rPr>
          <w:t>opportunities/eic</w:t>
        </w:r>
      </w:hyperlink>
      <w:hyperlink r:id="rId27">
        <w:r>
          <w:rPr>
            <w:color w:val="0563C1"/>
            <w:u w:val="single" w:color="0563C1"/>
          </w:rPr>
          <w:t>-</w:t>
        </w:r>
      </w:hyperlink>
      <w:hyperlink r:id="rId28">
        <w:r>
          <w:rPr>
            <w:color w:val="0563C1"/>
            <w:u w:val="single" w:color="0563C1"/>
          </w:rPr>
          <w:t>accelerator_en</w:t>
        </w:r>
      </w:hyperlink>
      <w:hyperlink r:id="rId29">
        <w:r>
          <w:t xml:space="preserve"> </w:t>
        </w:r>
      </w:hyperlink>
      <w:r>
        <w:t xml:space="preserve">(Utolsó megtekintés: 2023. július 3.) </w:t>
      </w:r>
    </w:p>
  </w:footnote>
  <w:footnote w:id="4">
    <w:p w14:paraId="08F8DFDE" w14:textId="77777777" w:rsidR="00BF7319" w:rsidRDefault="00000000">
      <w:pPr>
        <w:pStyle w:val="footnotedescription"/>
        <w:spacing w:line="248" w:lineRule="auto"/>
        <w:jc w:val="both"/>
      </w:pPr>
      <w:r>
        <w:rPr>
          <w:rStyle w:val="footnotemark"/>
        </w:rPr>
        <w:footnoteRef/>
      </w:r>
      <w:r>
        <w:t xml:space="preserve"> </w:t>
      </w:r>
      <w:hyperlink r:id="rId30">
        <w:r>
          <w:rPr>
            <w:color w:val="0563C1"/>
            <w:u w:val="single" w:color="0563C1"/>
          </w:rPr>
          <w:t>https://www.dst.defence.gov.au/sites/default/files/basic_pages/documents/TRL%20Explanations_1.pdf</w:t>
        </w:r>
      </w:hyperlink>
      <w:hyperlink r:id="rId31">
        <w:r>
          <w:t xml:space="preserve"> </w:t>
        </w:r>
      </w:hyperlink>
      <w:r>
        <w:t xml:space="preserve">(Utolsó megtekintés: 2023. július 3.) </w:t>
      </w:r>
    </w:p>
  </w:footnote>
  <w:footnote w:id="5">
    <w:p w14:paraId="4EB106F6" w14:textId="77777777" w:rsidR="00BF7319" w:rsidRDefault="00000000">
      <w:pPr>
        <w:pStyle w:val="footnotedescription"/>
        <w:spacing w:line="258" w:lineRule="auto"/>
      </w:pPr>
      <w:r>
        <w:rPr>
          <w:rStyle w:val="footnotemark"/>
        </w:rPr>
        <w:footnoteRef/>
      </w:r>
      <w:r>
        <w:t xml:space="preserve"> A példában már fizikai kísérletekkel történt a megalapozás, de ebben a szakaszban szimuláció, modellezés is bevett módszer. </w:t>
      </w:r>
    </w:p>
  </w:footnote>
  <w:footnote w:id="6">
    <w:p w14:paraId="7864F7DC" w14:textId="77777777" w:rsidR="00BF7319" w:rsidRDefault="00000000">
      <w:pPr>
        <w:pStyle w:val="footnotedescription"/>
        <w:spacing w:line="259" w:lineRule="auto"/>
        <w:ind w:left="331" w:firstLine="0"/>
      </w:pPr>
      <w:r>
        <w:rPr>
          <w:rStyle w:val="footnotemark"/>
        </w:rPr>
        <w:footnoteRef/>
      </w:r>
      <w:r>
        <w:t xml:space="preserve"> </w:t>
      </w:r>
      <w:r>
        <w:rPr>
          <w:i/>
        </w:rPr>
        <w:t xml:space="preserve">Törölt mondat.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7C8ECD" w14:textId="77777777" w:rsidR="00BF7319" w:rsidRDefault="00000000">
    <w:pPr>
      <w:spacing w:after="0" w:line="259" w:lineRule="auto"/>
      <w:ind w:left="0" w:right="0" w:firstLine="0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189F27F4" wp14:editId="2CCC6D52">
          <wp:simplePos x="0" y="0"/>
          <wp:positionH relativeFrom="page">
            <wp:posOffset>895985</wp:posOffset>
          </wp:positionH>
          <wp:positionV relativeFrom="page">
            <wp:posOffset>514363</wp:posOffset>
          </wp:positionV>
          <wp:extent cx="5758181" cy="491477"/>
          <wp:effectExtent l="0" t="0" r="0" b="0"/>
          <wp:wrapSquare wrapText="bothSides"/>
          <wp:docPr id="66" name="Picture 6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6" name="Picture 6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8181" cy="49147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color w:val="FFFFFF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F01CA1" w14:textId="77777777" w:rsidR="00BF7319" w:rsidRDefault="00000000">
    <w:pPr>
      <w:spacing w:after="0" w:line="259" w:lineRule="auto"/>
      <w:ind w:left="0" w:right="0" w:firstLine="0"/>
      <w:jc w:val="left"/>
    </w:pPr>
    <w:r>
      <w:rPr>
        <w:noProof/>
      </w:rPr>
      <w:drawing>
        <wp:anchor distT="0" distB="0" distL="114300" distR="114300" simplePos="0" relativeHeight="251659264" behindDoc="0" locked="0" layoutInCell="1" allowOverlap="0" wp14:anchorId="398AA6AD" wp14:editId="1729040E">
          <wp:simplePos x="0" y="0"/>
          <wp:positionH relativeFrom="page">
            <wp:posOffset>895985</wp:posOffset>
          </wp:positionH>
          <wp:positionV relativeFrom="page">
            <wp:posOffset>514363</wp:posOffset>
          </wp:positionV>
          <wp:extent cx="5758181" cy="491477"/>
          <wp:effectExtent l="0" t="0" r="0" b="0"/>
          <wp:wrapSquare wrapText="bothSides"/>
          <wp:docPr id="329420787" name="Picture 6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6" name="Picture 6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8181" cy="49147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color w:val="FFFFFF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D8DA64" w14:textId="77777777" w:rsidR="00BF7319" w:rsidRDefault="00BF7319">
    <w:pPr>
      <w:spacing w:after="160" w:line="259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B3981"/>
    <w:multiLevelType w:val="hybridMultilevel"/>
    <w:tmpl w:val="7C0C34B0"/>
    <w:lvl w:ilvl="0" w:tplc="D48EF72C">
      <w:start w:val="2"/>
      <w:numFmt w:val="upperRoman"/>
      <w:pStyle w:val="Cmsor1"/>
      <w:lvlText w:val="%1."/>
      <w:lvlJc w:val="left"/>
      <w:pPr>
        <w:ind w:left="0"/>
      </w:pPr>
      <w:rPr>
        <w:rFonts w:ascii="Garamond" w:eastAsia="Garamond" w:hAnsi="Garamond" w:cs="Garamond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954BA14">
      <w:start w:val="1"/>
      <w:numFmt w:val="lowerLetter"/>
      <w:lvlText w:val="%2"/>
      <w:lvlJc w:val="left"/>
      <w:pPr>
        <w:ind w:left="3562"/>
      </w:pPr>
      <w:rPr>
        <w:rFonts w:ascii="Garamond" w:eastAsia="Garamond" w:hAnsi="Garamond" w:cs="Garamond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FE2A3EC">
      <w:start w:val="1"/>
      <w:numFmt w:val="lowerRoman"/>
      <w:lvlText w:val="%3"/>
      <w:lvlJc w:val="left"/>
      <w:pPr>
        <w:ind w:left="4282"/>
      </w:pPr>
      <w:rPr>
        <w:rFonts w:ascii="Garamond" w:eastAsia="Garamond" w:hAnsi="Garamond" w:cs="Garamond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32C8466">
      <w:start w:val="1"/>
      <w:numFmt w:val="decimal"/>
      <w:lvlText w:val="%4"/>
      <w:lvlJc w:val="left"/>
      <w:pPr>
        <w:ind w:left="5002"/>
      </w:pPr>
      <w:rPr>
        <w:rFonts w:ascii="Garamond" w:eastAsia="Garamond" w:hAnsi="Garamond" w:cs="Garamond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39062F0">
      <w:start w:val="1"/>
      <w:numFmt w:val="lowerLetter"/>
      <w:lvlText w:val="%5"/>
      <w:lvlJc w:val="left"/>
      <w:pPr>
        <w:ind w:left="5722"/>
      </w:pPr>
      <w:rPr>
        <w:rFonts w:ascii="Garamond" w:eastAsia="Garamond" w:hAnsi="Garamond" w:cs="Garamond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94EA928">
      <w:start w:val="1"/>
      <w:numFmt w:val="lowerRoman"/>
      <w:lvlText w:val="%6"/>
      <w:lvlJc w:val="left"/>
      <w:pPr>
        <w:ind w:left="6442"/>
      </w:pPr>
      <w:rPr>
        <w:rFonts w:ascii="Garamond" w:eastAsia="Garamond" w:hAnsi="Garamond" w:cs="Garamond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CC80BC6">
      <w:start w:val="1"/>
      <w:numFmt w:val="decimal"/>
      <w:lvlText w:val="%7"/>
      <w:lvlJc w:val="left"/>
      <w:pPr>
        <w:ind w:left="7162"/>
      </w:pPr>
      <w:rPr>
        <w:rFonts w:ascii="Garamond" w:eastAsia="Garamond" w:hAnsi="Garamond" w:cs="Garamond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F203C48">
      <w:start w:val="1"/>
      <w:numFmt w:val="lowerLetter"/>
      <w:lvlText w:val="%8"/>
      <w:lvlJc w:val="left"/>
      <w:pPr>
        <w:ind w:left="7882"/>
      </w:pPr>
      <w:rPr>
        <w:rFonts w:ascii="Garamond" w:eastAsia="Garamond" w:hAnsi="Garamond" w:cs="Garamond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FB4AF5A">
      <w:start w:val="1"/>
      <w:numFmt w:val="lowerRoman"/>
      <w:lvlText w:val="%9"/>
      <w:lvlJc w:val="left"/>
      <w:pPr>
        <w:ind w:left="8602"/>
      </w:pPr>
      <w:rPr>
        <w:rFonts w:ascii="Garamond" w:eastAsia="Garamond" w:hAnsi="Garamond" w:cs="Garamond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9671225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7319"/>
    <w:rsid w:val="006B53CA"/>
    <w:rsid w:val="00992373"/>
    <w:rsid w:val="00BF7319"/>
    <w:rsid w:val="00D12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641383F"/>
  <w15:docId w15:val="{5FA6E721-48FC-4098-A4D3-1B9CE6E78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hu-HU" w:eastAsia="hu-H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159" w:line="319" w:lineRule="auto"/>
      <w:ind w:left="10" w:right="8" w:hanging="10"/>
      <w:jc w:val="both"/>
    </w:pPr>
    <w:rPr>
      <w:rFonts w:ascii="Garamond" w:eastAsia="Garamond" w:hAnsi="Garamond" w:cs="Garamond"/>
      <w:color w:val="000000"/>
    </w:rPr>
  </w:style>
  <w:style w:type="paragraph" w:styleId="Cmsor1">
    <w:name w:val="heading 1"/>
    <w:next w:val="Norml"/>
    <w:link w:val="Cmsor1Char"/>
    <w:uiPriority w:val="9"/>
    <w:qFormat/>
    <w:pPr>
      <w:keepNext/>
      <w:keepLines/>
      <w:numPr>
        <w:numId w:val="1"/>
      </w:numPr>
      <w:spacing w:after="16" w:line="259" w:lineRule="auto"/>
      <w:ind w:left="336"/>
      <w:jc w:val="right"/>
      <w:outlineLvl w:val="0"/>
    </w:pPr>
    <w:rPr>
      <w:rFonts w:ascii="Garamond" w:eastAsia="Garamond" w:hAnsi="Garamond" w:cs="Garamond"/>
      <w:b/>
      <w:color w:val="000000"/>
      <w:sz w:val="28"/>
    </w:rPr>
  </w:style>
  <w:style w:type="paragraph" w:styleId="Cmsor2">
    <w:name w:val="heading 2"/>
    <w:next w:val="Norml"/>
    <w:link w:val="Cmsor2Char"/>
    <w:uiPriority w:val="9"/>
    <w:unhideWhenUsed/>
    <w:qFormat/>
    <w:pPr>
      <w:keepNext/>
      <w:keepLines/>
      <w:spacing w:after="226" w:line="259" w:lineRule="auto"/>
      <w:ind w:left="10" w:hanging="10"/>
      <w:outlineLvl w:val="1"/>
    </w:pPr>
    <w:rPr>
      <w:rFonts w:ascii="Garamond" w:eastAsia="Garamond" w:hAnsi="Garamond" w:cs="Garamond"/>
      <w:b/>
      <w:color w:val="00000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link w:val="Cmsor2"/>
    <w:rPr>
      <w:rFonts w:ascii="Garamond" w:eastAsia="Garamond" w:hAnsi="Garamond" w:cs="Garamond"/>
      <w:b/>
      <w:color w:val="000000"/>
      <w:sz w:val="24"/>
    </w:rPr>
  </w:style>
  <w:style w:type="character" w:customStyle="1" w:styleId="Cmsor1Char">
    <w:name w:val="Címsor 1 Char"/>
    <w:link w:val="Cmsor1"/>
    <w:rPr>
      <w:rFonts w:ascii="Garamond" w:eastAsia="Garamond" w:hAnsi="Garamond" w:cs="Garamond"/>
      <w:b/>
      <w:color w:val="000000"/>
      <w:sz w:val="28"/>
    </w:rPr>
  </w:style>
  <w:style w:type="paragraph" w:customStyle="1" w:styleId="footnotedescription">
    <w:name w:val="footnote description"/>
    <w:next w:val="Norml"/>
    <w:link w:val="footnotedescriptionChar"/>
    <w:hidden/>
    <w:pPr>
      <w:spacing w:after="0" w:line="247" w:lineRule="auto"/>
      <w:ind w:left="142" w:hanging="142"/>
    </w:pPr>
    <w:rPr>
      <w:rFonts w:ascii="Garamond" w:eastAsia="Garamond" w:hAnsi="Garamond" w:cs="Garamond"/>
      <w:color w:val="000000"/>
      <w:sz w:val="20"/>
    </w:rPr>
  </w:style>
  <w:style w:type="character" w:customStyle="1" w:styleId="footnotedescriptionChar">
    <w:name w:val="footnote description Char"/>
    <w:link w:val="footnotedescription"/>
    <w:rPr>
      <w:rFonts w:ascii="Garamond" w:eastAsia="Garamond" w:hAnsi="Garamond" w:cs="Garamond"/>
      <w:color w:val="000000"/>
      <w:sz w:val="20"/>
    </w:rPr>
  </w:style>
  <w:style w:type="character" w:customStyle="1" w:styleId="footnotemark">
    <w:name w:val="footnote mark"/>
    <w:hidden/>
    <w:rPr>
      <w:rFonts w:ascii="Garamond" w:eastAsia="Garamond" w:hAnsi="Garamond" w:cs="Garamond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0.jpg"/><Relationship Id="rId18" Type="http://schemas.openxmlformats.org/officeDocument/2006/relationships/hyperlink" Target="https://horizoneuropencpportal.eu/sites/default/files/2022-12/trl-assessment-tool-guide-final.pdf" TargetMode="External"/><Relationship Id="rId26" Type="http://schemas.openxmlformats.org/officeDocument/2006/relationships/hyperlink" Target="https://horizoneuropencpportal.eu/sites/default/files/2022-12/trl-assessment-tool-guide-final.pdf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horizoneuropencpportal.eu/sites/default/files/2022-12/trl-assessment-tool-guide-final.pdf" TargetMode="External"/><Relationship Id="rId34" Type="http://schemas.openxmlformats.org/officeDocument/2006/relationships/header" Target="header2.xml"/><Relationship Id="rId7" Type="http://schemas.openxmlformats.org/officeDocument/2006/relationships/image" Target="media/image1.jpg"/><Relationship Id="rId17" Type="http://schemas.openxmlformats.org/officeDocument/2006/relationships/hyperlink" Target="https://horizoneuropencpportal.eu/store/trl-assessment" TargetMode="External"/><Relationship Id="rId25" Type="http://schemas.openxmlformats.org/officeDocument/2006/relationships/hyperlink" Target="https://horizoneuropencpportal.eu/sites/default/files/2022-12/trl-assessment-tool-guide-final.pdf" TargetMode="External"/><Relationship Id="rId33" Type="http://schemas.openxmlformats.org/officeDocument/2006/relationships/header" Target="header1.xml"/><Relationship Id="rId38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yperlink" Target="https://horizoneuropencpportal.eu/store/trl-assessment" TargetMode="External"/><Relationship Id="rId20" Type="http://schemas.openxmlformats.org/officeDocument/2006/relationships/hyperlink" Target="https://horizoneuropencpportal.eu/sites/default/files/2022-12/trl-assessment-tool-guide-final.pdf" TargetMode="External"/><Relationship Id="rId29" Type="http://schemas.openxmlformats.org/officeDocument/2006/relationships/hyperlink" Target="https://horizoneuropencpportal.eu/sites/default/files/2022-12/trl-assessment-tool-guide-final.pd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4" Type="http://schemas.openxmlformats.org/officeDocument/2006/relationships/hyperlink" Target="https://horizoneuropencpportal.eu/sites/default/files/2022-12/trl-assessment-tool-guide-final.pdf" TargetMode="External"/><Relationship Id="rId32" Type="http://schemas.openxmlformats.org/officeDocument/2006/relationships/hyperlink" Target="http://www.hipo.gov.hu/" TargetMode="External"/><Relationship Id="rId37" Type="http://schemas.openxmlformats.org/officeDocument/2006/relationships/header" Target="header3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horizoneuropencpportal.eu/store/trl-assessment" TargetMode="External"/><Relationship Id="rId23" Type="http://schemas.openxmlformats.org/officeDocument/2006/relationships/hyperlink" Target="https://horizoneuropencpportal.eu/sites/default/files/2022-12/trl-assessment-tool-guide-final.pdf" TargetMode="External"/><Relationship Id="rId28" Type="http://schemas.openxmlformats.org/officeDocument/2006/relationships/hyperlink" Target="https://horizoneuropencpportal.eu/sites/default/files/2022-12/trl-assessment-tool-guide-final.pdf" TargetMode="External"/><Relationship Id="rId36" Type="http://schemas.openxmlformats.org/officeDocument/2006/relationships/footer" Target="footer2.xml"/><Relationship Id="rId19" Type="http://schemas.openxmlformats.org/officeDocument/2006/relationships/hyperlink" Target="https://horizoneuropencpportal.eu/sites/default/files/2022-12/trl-assessment-tool-guide-final.pdf" TargetMode="External"/><Relationship Id="rId31" Type="http://schemas.openxmlformats.org/officeDocument/2006/relationships/hyperlink" Target="http://www.hipo.gov.hu/" TargetMode="External"/><Relationship Id="rId4" Type="http://schemas.openxmlformats.org/officeDocument/2006/relationships/webSettings" Target="webSettings.xml"/><Relationship Id="rId14" Type="http://schemas.openxmlformats.org/officeDocument/2006/relationships/hyperlink" Target="https://horizoneuropencpportal.eu/store/trl-assessment" TargetMode="External"/><Relationship Id="rId22" Type="http://schemas.openxmlformats.org/officeDocument/2006/relationships/hyperlink" Target="https://horizoneuropencpportal.eu/sites/default/files/2022-12/trl-assessment-tool-guide-final.pdf" TargetMode="External"/><Relationship Id="rId27" Type="http://schemas.openxmlformats.org/officeDocument/2006/relationships/hyperlink" Target="https://horizoneuropencpportal.eu/sites/default/files/2022-12/trl-assessment-tool-guide-final.pdf" TargetMode="External"/><Relationship Id="rId30" Type="http://schemas.openxmlformats.org/officeDocument/2006/relationships/hyperlink" Target="http://www.hipo.gov.hu/" TargetMode="External"/><Relationship Id="rId35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redknightconsultancy.co.uk/2021/07/21/grant-funding-and-the-trl-framework/" TargetMode="External"/><Relationship Id="rId13" Type="http://schemas.openxmlformats.org/officeDocument/2006/relationships/hyperlink" Target="https://eic.ec.europa.eu/eic-funding-opportunities/eic-transition_en" TargetMode="External"/><Relationship Id="rId18" Type="http://schemas.openxmlformats.org/officeDocument/2006/relationships/hyperlink" Target="https://eic.ec.europa.eu/eic-funding-opportunities/eic-transition_en" TargetMode="External"/><Relationship Id="rId26" Type="http://schemas.openxmlformats.org/officeDocument/2006/relationships/hyperlink" Target="https://eic.ec.europa.eu/eic-funding-opportunities/eic-accelerator_en" TargetMode="External"/><Relationship Id="rId3" Type="http://schemas.openxmlformats.org/officeDocument/2006/relationships/hyperlink" Target="https://redknightconsultancy.co.uk/2021/07/21/grant-funding-and-the-trl-framework/" TargetMode="External"/><Relationship Id="rId21" Type="http://schemas.openxmlformats.org/officeDocument/2006/relationships/hyperlink" Target="https://eic.ec.europa.eu/eic-funding-opportunities/eic-accelerator_en" TargetMode="External"/><Relationship Id="rId7" Type="http://schemas.openxmlformats.org/officeDocument/2006/relationships/hyperlink" Target="https://redknightconsultancy.co.uk/2021/07/21/grant-funding-and-the-trl-framework/" TargetMode="External"/><Relationship Id="rId12" Type="http://schemas.openxmlformats.org/officeDocument/2006/relationships/hyperlink" Target="https://redknightconsultancy.co.uk/2021/07/21/grant-funding-and-the-trl-framework/" TargetMode="External"/><Relationship Id="rId17" Type="http://schemas.openxmlformats.org/officeDocument/2006/relationships/hyperlink" Target="https://eic.ec.europa.eu/eic-funding-opportunities/eic-transition_en" TargetMode="External"/><Relationship Id="rId25" Type="http://schemas.openxmlformats.org/officeDocument/2006/relationships/hyperlink" Target="https://eic.ec.europa.eu/eic-funding-opportunities/eic-accelerator_en" TargetMode="External"/><Relationship Id="rId2" Type="http://schemas.openxmlformats.org/officeDocument/2006/relationships/hyperlink" Target="https://redknightconsultancy.co.uk/2021/07/21/grant-funding-and-the-trl-framework/" TargetMode="External"/><Relationship Id="rId16" Type="http://schemas.openxmlformats.org/officeDocument/2006/relationships/hyperlink" Target="https://eic.ec.europa.eu/eic-funding-opportunities/eic-transition_en" TargetMode="External"/><Relationship Id="rId20" Type="http://schemas.openxmlformats.org/officeDocument/2006/relationships/hyperlink" Target="https://eic.ec.europa.eu/eic-funding-opportunities/eic-transition_en" TargetMode="External"/><Relationship Id="rId29" Type="http://schemas.openxmlformats.org/officeDocument/2006/relationships/hyperlink" Target="https://eic.ec.europa.eu/eic-funding-opportunities/eic-accelerator_en" TargetMode="External"/><Relationship Id="rId1" Type="http://schemas.openxmlformats.org/officeDocument/2006/relationships/hyperlink" Target="https://redknightconsultancy.co.uk/2021/07/21/grant-funding-and-the-trl-framework/" TargetMode="External"/><Relationship Id="rId6" Type="http://schemas.openxmlformats.org/officeDocument/2006/relationships/hyperlink" Target="https://redknightconsultancy.co.uk/2021/07/21/grant-funding-and-the-trl-framework/" TargetMode="External"/><Relationship Id="rId11" Type="http://schemas.openxmlformats.org/officeDocument/2006/relationships/hyperlink" Target="https://redknightconsultancy.co.uk/2021/07/21/grant-funding-and-the-trl-framework/" TargetMode="External"/><Relationship Id="rId24" Type="http://schemas.openxmlformats.org/officeDocument/2006/relationships/hyperlink" Target="https://eic.ec.europa.eu/eic-funding-opportunities/eic-accelerator_en" TargetMode="External"/><Relationship Id="rId5" Type="http://schemas.openxmlformats.org/officeDocument/2006/relationships/hyperlink" Target="https://redknightconsultancy.co.uk/2021/07/21/grant-funding-and-the-trl-framework/" TargetMode="External"/><Relationship Id="rId15" Type="http://schemas.openxmlformats.org/officeDocument/2006/relationships/hyperlink" Target="https://eic.ec.europa.eu/eic-funding-opportunities/eic-transition_en" TargetMode="External"/><Relationship Id="rId23" Type="http://schemas.openxmlformats.org/officeDocument/2006/relationships/hyperlink" Target="https://eic.ec.europa.eu/eic-funding-opportunities/eic-accelerator_en" TargetMode="External"/><Relationship Id="rId28" Type="http://schemas.openxmlformats.org/officeDocument/2006/relationships/hyperlink" Target="https://eic.ec.europa.eu/eic-funding-opportunities/eic-accelerator_en" TargetMode="External"/><Relationship Id="rId10" Type="http://schemas.openxmlformats.org/officeDocument/2006/relationships/hyperlink" Target="https://redknightconsultancy.co.uk/2021/07/21/grant-funding-and-the-trl-framework/" TargetMode="External"/><Relationship Id="rId19" Type="http://schemas.openxmlformats.org/officeDocument/2006/relationships/hyperlink" Target="https://eic.ec.europa.eu/eic-funding-opportunities/eic-transition_en" TargetMode="External"/><Relationship Id="rId31" Type="http://schemas.openxmlformats.org/officeDocument/2006/relationships/hyperlink" Target="https://www.dst.defence.gov.au/sites/default/files/basic_pages/documents/TRL%20Explanations_1.pdf" TargetMode="External"/><Relationship Id="rId4" Type="http://schemas.openxmlformats.org/officeDocument/2006/relationships/hyperlink" Target="https://redknightconsultancy.co.uk/2021/07/21/grant-funding-and-the-trl-framework/" TargetMode="External"/><Relationship Id="rId9" Type="http://schemas.openxmlformats.org/officeDocument/2006/relationships/hyperlink" Target="https://redknightconsultancy.co.uk/2021/07/21/grant-funding-and-the-trl-framework/" TargetMode="External"/><Relationship Id="rId14" Type="http://schemas.openxmlformats.org/officeDocument/2006/relationships/hyperlink" Target="https://eic.ec.europa.eu/eic-funding-opportunities/eic-transition_en" TargetMode="External"/><Relationship Id="rId22" Type="http://schemas.openxmlformats.org/officeDocument/2006/relationships/hyperlink" Target="https://eic.ec.europa.eu/eic-funding-opportunities/eic-accelerator_en" TargetMode="External"/><Relationship Id="rId27" Type="http://schemas.openxmlformats.org/officeDocument/2006/relationships/hyperlink" Target="https://eic.ec.europa.eu/eic-funding-opportunities/eic-accelerator_en" TargetMode="External"/><Relationship Id="rId30" Type="http://schemas.openxmlformats.org/officeDocument/2006/relationships/hyperlink" Target="https://www.dst.defence.gov.au/sites/default/files/basic_pages/documents/TRL%20Explanations_1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2691</Words>
  <Characters>18571</Characters>
  <Application>Microsoft Office Word</Application>
  <DocSecurity>0</DocSecurity>
  <Lines>154</Lines>
  <Paragraphs>42</Paragraphs>
  <ScaleCrop>false</ScaleCrop>
  <Company/>
  <LinksUpToDate>false</LinksUpToDate>
  <CharactersWithSpaces>21220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Pohánka Zsuzsanna Katalin dr.</dc:creator>
  <cp:keywords/>
  <cp:lastModifiedBy>Ignácz Melinda</cp:lastModifiedBy>
  <cp:revision>2</cp:revision>
  <dcterms:created xsi:type="dcterms:W3CDTF">2024-05-31T07:55:00Z</dcterms:created>
  <dcterms:modified xsi:type="dcterms:W3CDTF">2024-05-31T07:55:00Z</dcterms:modified>
</cp:coreProperties>
</file>